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00E" w:rsidRPr="009877EF" w:rsidRDefault="0045000E" w:rsidP="009877EF">
      <w:pPr>
        <w:spacing w:after="0" w:line="240" w:lineRule="auto"/>
        <w:jc w:val="both"/>
        <w:rPr>
          <w:rFonts w:ascii="Times New Roman" w:hAnsi="Times New Roman"/>
          <w:b/>
          <w:sz w:val="24"/>
          <w:szCs w:val="24"/>
          <w:lang w:val="lt-LT"/>
        </w:rPr>
      </w:pPr>
      <w:bookmarkStart w:id="0" w:name="OLE_LINK1"/>
      <w:bookmarkStart w:id="1" w:name="OLE_LINK2"/>
      <w:bookmarkStart w:id="2" w:name="_GoBack"/>
      <w:bookmarkEnd w:id="2"/>
      <w:r w:rsidRPr="009877EF">
        <w:rPr>
          <w:rFonts w:ascii="Times New Roman" w:hAnsi="Times New Roman"/>
          <w:b/>
          <w:sz w:val="24"/>
          <w:szCs w:val="24"/>
          <w:lang w:val="lt-LT"/>
        </w:rPr>
        <w:t>KORUPCIJOS RIZIKOS ANALIZĖS IŠVADOJE PATEIKTŲ PASIŪLYMŲ STEBĖSENA</w:t>
      </w:r>
    </w:p>
    <w:p w:rsidR="0045000E" w:rsidRPr="009877EF" w:rsidRDefault="0045000E" w:rsidP="009877EF">
      <w:pPr>
        <w:spacing w:after="0" w:line="240" w:lineRule="auto"/>
        <w:jc w:val="both"/>
        <w:rPr>
          <w:rFonts w:ascii="Times New Roman" w:hAnsi="Times New Roman"/>
          <w:sz w:val="24"/>
          <w:szCs w:val="24"/>
          <w:lang w:val="lt-LT"/>
        </w:rPr>
      </w:pPr>
    </w:p>
    <w:p w:rsidR="0045000E" w:rsidRPr="009877EF" w:rsidRDefault="0045000E" w:rsidP="009877EF">
      <w:pPr>
        <w:spacing w:after="0" w:line="240" w:lineRule="auto"/>
        <w:ind w:firstLine="851"/>
        <w:jc w:val="both"/>
        <w:rPr>
          <w:rFonts w:ascii="Times New Roman" w:hAnsi="Times New Roman"/>
          <w:bCs/>
          <w:sz w:val="24"/>
          <w:szCs w:val="24"/>
          <w:lang w:val="lt-LT"/>
        </w:rPr>
      </w:pPr>
      <w:r w:rsidRPr="009877EF">
        <w:rPr>
          <w:rFonts w:ascii="Times New Roman" w:hAnsi="Times New Roman"/>
          <w:sz w:val="24"/>
          <w:szCs w:val="24"/>
          <w:lang w:val="lt-LT"/>
        </w:rPr>
        <w:t xml:space="preserve">Informacija apie 2015 m. birželio 16 d. Išvadoje dėl </w:t>
      </w:r>
      <w:r w:rsidRPr="009877EF">
        <w:rPr>
          <w:rFonts w:ascii="Times New Roman" w:hAnsi="Times New Roman"/>
          <w:bCs/>
          <w:sz w:val="24"/>
          <w:szCs w:val="24"/>
          <w:lang w:val="lt-LT"/>
        </w:rPr>
        <w:t xml:space="preserve">korupcijos rizikos analizės </w:t>
      </w:r>
      <w:r w:rsidRPr="009877EF">
        <w:rPr>
          <w:rFonts w:ascii="Times New Roman" w:hAnsi="Times New Roman"/>
          <w:sz w:val="24"/>
          <w:szCs w:val="24"/>
          <w:lang w:val="lt-LT"/>
        </w:rPr>
        <w:t xml:space="preserve">Lietuvos Respublikos energetikos ministerijos veiklos, vykdant VĮ Lietuvos naftos produktų agentūra valdymo organizavimą ir veiklos priežiūros užtikrinimą Nr. 4-01-4492 (toliau – Išvada) pateiktų pasiūlymų įgyvendinimą </w:t>
      </w:r>
      <w:r w:rsidRPr="009877EF">
        <w:rPr>
          <w:rFonts w:ascii="Times New Roman" w:hAnsi="Times New Roman"/>
          <w:bCs/>
          <w:sz w:val="24"/>
          <w:szCs w:val="24"/>
          <w:lang w:val="lt-LT"/>
        </w:rPr>
        <w:t>parengta pagal Lietuvos Respublikos (toliau – Ministerija, EM) pateiktą informaciją:</w:t>
      </w:r>
    </w:p>
    <w:p w:rsidR="0045000E" w:rsidRPr="009877EF" w:rsidRDefault="0045000E" w:rsidP="009877EF">
      <w:pPr>
        <w:spacing w:after="0" w:line="240" w:lineRule="auto"/>
        <w:ind w:firstLine="851"/>
        <w:jc w:val="both"/>
        <w:rPr>
          <w:rFonts w:ascii="Times New Roman" w:hAnsi="Times New Roman"/>
          <w:sz w:val="24"/>
          <w:szCs w:val="24"/>
          <w:lang w:val="lt-LT"/>
        </w:rPr>
      </w:pPr>
      <w:r w:rsidRPr="009877EF">
        <w:rPr>
          <w:rFonts w:ascii="Times New Roman" w:hAnsi="Times New Roman"/>
          <w:bCs/>
          <w:sz w:val="24"/>
          <w:szCs w:val="24"/>
          <w:lang w:val="lt-LT"/>
        </w:rPr>
        <w:t xml:space="preserve">- </w:t>
      </w:r>
      <w:bookmarkEnd w:id="0"/>
      <w:bookmarkEnd w:id="1"/>
      <w:r w:rsidR="00462821" w:rsidRPr="009877EF">
        <w:rPr>
          <w:rFonts w:ascii="Times New Roman" w:hAnsi="Times New Roman"/>
          <w:sz w:val="24"/>
          <w:szCs w:val="24"/>
          <w:lang w:val="lt-LT"/>
        </w:rPr>
        <w:t xml:space="preserve">2015 m. rugsėjo 18 </w:t>
      </w:r>
      <w:r w:rsidR="00C5078C" w:rsidRPr="009877EF">
        <w:rPr>
          <w:rFonts w:ascii="Times New Roman" w:hAnsi="Times New Roman"/>
          <w:sz w:val="24"/>
          <w:szCs w:val="24"/>
          <w:lang w:val="lt-LT"/>
        </w:rPr>
        <w:t>d. rašt</w:t>
      </w:r>
      <w:r w:rsidRPr="009877EF">
        <w:rPr>
          <w:rFonts w:ascii="Times New Roman" w:hAnsi="Times New Roman"/>
          <w:sz w:val="24"/>
          <w:szCs w:val="24"/>
          <w:lang w:val="lt-LT"/>
        </w:rPr>
        <w:t>u</w:t>
      </w:r>
      <w:r w:rsidR="00C5078C" w:rsidRPr="009877EF">
        <w:rPr>
          <w:rFonts w:ascii="Times New Roman" w:hAnsi="Times New Roman"/>
          <w:sz w:val="24"/>
          <w:szCs w:val="24"/>
          <w:lang w:val="lt-LT"/>
        </w:rPr>
        <w:t xml:space="preserve"> Nr. (7.14-09)3-2545,</w:t>
      </w:r>
    </w:p>
    <w:p w:rsidR="0045000E" w:rsidRPr="009877EF" w:rsidRDefault="00C5078C" w:rsidP="009877EF">
      <w:pPr>
        <w:spacing w:after="0" w:line="240" w:lineRule="auto"/>
        <w:ind w:firstLine="851"/>
        <w:jc w:val="both"/>
        <w:rPr>
          <w:rFonts w:ascii="Times New Roman" w:hAnsi="Times New Roman"/>
          <w:sz w:val="24"/>
          <w:szCs w:val="24"/>
          <w:lang w:val="lt-LT"/>
        </w:rPr>
      </w:pPr>
      <w:r w:rsidRPr="009877EF">
        <w:rPr>
          <w:rFonts w:ascii="Times New Roman" w:hAnsi="Times New Roman"/>
          <w:sz w:val="24"/>
          <w:szCs w:val="24"/>
          <w:lang w:val="lt-LT"/>
        </w:rPr>
        <w:t xml:space="preserve"> </w:t>
      </w:r>
      <w:r w:rsidR="0045000E" w:rsidRPr="009877EF">
        <w:rPr>
          <w:rFonts w:ascii="Times New Roman" w:hAnsi="Times New Roman"/>
          <w:sz w:val="24"/>
          <w:szCs w:val="24"/>
          <w:lang w:val="lt-LT"/>
        </w:rPr>
        <w:t xml:space="preserve">- </w:t>
      </w:r>
      <w:r w:rsidR="00462821" w:rsidRPr="009877EF">
        <w:rPr>
          <w:rFonts w:ascii="Times New Roman" w:hAnsi="Times New Roman"/>
          <w:sz w:val="24"/>
          <w:szCs w:val="24"/>
          <w:lang w:val="lt-LT"/>
        </w:rPr>
        <w:t xml:space="preserve">2015 m. </w:t>
      </w:r>
      <w:r w:rsidR="00E515C9" w:rsidRPr="009877EF">
        <w:rPr>
          <w:rFonts w:ascii="Times New Roman" w:hAnsi="Times New Roman"/>
          <w:sz w:val="24"/>
          <w:szCs w:val="24"/>
          <w:lang w:val="lt-LT"/>
        </w:rPr>
        <w:t>gruodžio 15 d. rašt</w:t>
      </w:r>
      <w:r w:rsidR="0045000E" w:rsidRPr="009877EF">
        <w:rPr>
          <w:rFonts w:ascii="Times New Roman" w:hAnsi="Times New Roman"/>
          <w:sz w:val="24"/>
          <w:szCs w:val="24"/>
          <w:lang w:val="lt-LT"/>
        </w:rPr>
        <w:t>u</w:t>
      </w:r>
      <w:r w:rsidR="00E515C9" w:rsidRPr="009877EF">
        <w:rPr>
          <w:rFonts w:ascii="Times New Roman" w:hAnsi="Times New Roman"/>
          <w:sz w:val="24"/>
          <w:szCs w:val="24"/>
          <w:lang w:val="lt-LT"/>
        </w:rPr>
        <w:t xml:space="preserve"> Nr. (7.15-09)3-3365</w:t>
      </w:r>
      <w:r w:rsidRPr="009877EF">
        <w:rPr>
          <w:rFonts w:ascii="Times New Roman" w:hAnsi="Times New Roman"/>
          <w:sz w:val="24"/>
          <w:szCs w:val="24"/>
          <w:lang w:val="lt-LT"/>
        </w:rPr>
        <w:t>,</w:t>
      </w:r>
    </w:p>
    <w:p w:rsidR="0045000E" w:rsidRPr="009877EF" w:rsidRDefault="0045000E" w:rsidP="009877EF">
      <w:pPr>
        <w:spacing w:after="0" w:line="240" w:lineRule="auto"/>
        <w:ind w:firstLine="851"/>
        <w:jc w:val="both"/>
        <w:rPr>
          <w:rFonts w:ascii="Times New Roman" w:hAnsi="Times New Roman"/>
          <w:sz w:val="24"/>
          <w:szCs w:val="24"/>
          <w:lang w:val="lt-LT"/>
        </w:rPr>
      </w:pPr>
      <w:r w:rsidRPr="009877EF">
        <w:rPr>
          <w:rFonts w:ascii="Times New Roman" w:hAnsi="Times New Roman"/>
          <w:sz w:val="24"/>
          <w:szCs w:val="24"/>
          <w:lang w:val="lt-LT"/>
        </w:rPr>
        <w:t>-</w:t>
      </w:r>
      <w:r w:rsidR="00C5078C" w:rsidRPr="009877EF">
        <w:rPr>
          <w:rFonts w:ascii="Times New Roman" w:hAnsi="Times New Roman"/>
          <w:sz w:val="24"/>
          <w:szCs w:val="24"/>
          <w:lang w:val="lt-LT"/>
        </w:rPr>
        <w:t xml:space="preserve"> 2016-06-23 rašt</w:t>
      </w:r>
      <w:r w:rsidRPr="009877EF">
        <w:rPr>
          <w:rFonts w:ascii="Times New Roman" w:hAnsi="Times New Roman"/>
          <w:sz w:val="24"/>
          <w:szCs w:val="24"/>
          <w:lang w:val="lt-LT"/>
        </w:rPr>
        <w:t>u</w:t>
      </w:r>
      <w:r w:rsidR="00C5078C" w:rsidRPr="009877EF">
        <w:rPr>
          <w:rFonts w:ascii="Times New Roman" w:hAnsi="Times New Roman"/>
          <w:sz w:val="24"/>
          <w:szCs w:val="24"/>
          <w:lang w:val="lt-LT"/>
        </w:rPr>
        <w:t xml:space="preserve"> Nr. (7.14-09)3-1397</w:t>
      </w:r>
      <w:r w:rsidRPr="009877EF">
        <w:rPr>
          <w:rFonts w:ascii="Times New Roman" w:hAnsi="Times New Roman"/>
          <w:sz w:val="24"/>
          <w:szCs w:val="24"/>
          <w:lang w:val="lt-LT"/>
        </w:rPr>
        <w:t>,</w:t>
      </w:r>
    </w:p>
    <w:p w:rsidR="00751C87" w:rsidRPr="009877EF" w:rsidRDefault="0045000E" w:rsidP="009877EF">
      <w:pPr>
        <w:spacing w:after="0" w:line="240" w:lineRule="auto"/>
        <w:ind w:firstLine="851"/>
        <w:jc w:val="both"/>
        <w:rPr>
          <w:rFonts w:ascii="Times New Roman" w:hAnsi="Times New Roman"/>
          <w:sz w:val="24"/>
          <w:szCs w:val="24"/>
          <w:lang w:val="lt-LT"/>
        </w:rPr>
      </w:pPr>
      <w:r w:rsidRPr="009877EF">
        <w:rPr>
          <w:rFonts w:ascii="Times New Roman" w:hAnsi="Times New Roman"/>
          <w:sz w:val="24"/>
          <w:szCs w:val="24"/>
          <w:lang w:val="lt-LT"/>
        </w:rPr>
        <w:t xml:space="preserve">- 2019-03-06 raštu Nr. </w:t>
      </w:r>
      <w:r w:rsidR="009877EF" w:rsidRPr="009877EF">
        <w:rPr>
          <w:rFonts w:ascii="Times New Roman" w:hAnsi="Times New Roman"/>
          <w:sz w:val="24"/>
          <w:szCs w:val="24"/>
          <w:lang w:val="lt-LT"/>
        </w:rPr>
        <w:t>(7.14-09)3-310.</w:t>
      </w: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6379"/>
        <w:gridCol w:w="2552"/>
      </w:tblGrid>
      <w:tr w:rsidR="00751C87" w:rsidRPr="009877EF" w:rsidTr="009877EF">
        <w:tc>
          <w:tcPr>
            <w:tcW w:w="4644" w:type="dxa"/>
          </w:tcPr>
          <w:p w:rsidR="00751C87" w:rsidRPr="009877EF" w:rsidRDefault="00751C87" w:rsidP="009877EF">
            <w:pPr>
              <w:spacing w:after="0" w:line="240" w:lineRule="auto"/>
              <w:jc w:val="center"/>
              <w:rPr>
                <w:rFonts w:ascii="Times New Roman" w:hAnsi="Times New Roman"/>
                <w:sz w:val="24"/>
                <w:szCs w:val="24"/>
                <w:lang w:val="lt-LT"/>
              </w:rPr>
            </w:pPr>
            <w:r w:rsidRPr="009877EF">
              <w:rPr>
                <w:rFonts w:ascii="Times New Roman" w:hAnsi="Times New Roman"/>
                <w:b/>
                <w:sz w:val="24"/>
                <w:szCs w:val="24"/>
                <w:lang w:val="lt-LT"/>
              </w:rPr>
              <w:t>Specialiųjų tyrimų tarnybos pateikti pasiūlymai</w:t>
            </w:r>
          </w:p>
        </w:tc>
        <w:tc>
          <w:tcPr>
            <w:tcW w:w="6379" w:type="dxa"/>
          </w:tcPr>
          <w:p w:rsidR="00751C87" w:rsidRPr="009877EF" w:rsidRDefault="00C5078C" w:rsidP="009877EF">
            <w:pPr>
              <w:spacing w:after="0" w:line="240" w:lineRule="auto"/>
              <w:jc w:val="center"/>
              <w:rPr>
                <w:rFonts w:ascii="Times New Roman" w:hAnsi="Times New Roman"/>
                <w:b/>
                <w:sz w:val="24"/>
                <w:szCs w:val="24"/>
                <w:lang w:val="lt-LT"/>
              </w:rPr>
            </w:pPr>
            <w:r w:rsidRPr="009877EF">
              <w:rPr>
                <w:rFonts w:ascii="Times New Roman" w:eastAsia="Calibri" w:hAnsi="Times New Roman"/>
                <w:b/>
                <w:sz w:val="24"/>
                <w:szCs w:val="24"/>
                <w:lang w:val="lt-LT"/>
              </w:rPr>
              <w:t>Įstaigos pateikta informacija</w:t>
            </w:r>
          </w:p>
        </w:tc>
        <w:tc>
          <w:tcPr>
            <w:tcW w:w="2552" w:type="dxa"/>
          </w:tcPr>
          <w:p w:rsidR="00751C87" w:rsidRPr="009877EF" w:rsidRDefault="00C5078C" w:rsidP="009877EF">
            <w:pPr>
              <w:spacing w:after="0" w:line="240" w:lineRule="auto"/>
              <w:jc w:val="center"/>
              <w:rPr>
                <w:rFonts w:ascii="Times New Roman" w:hAnsi="Times New Roman"/>
                <w:b/>
                <w:sz w:val="24"/>
                <w:szCs w:val="24"/>
                <w:lang w:val="lt-LT"/>
              </w:rPr>
            </w:pPr>
            <w:r w:rsidRPr="009877EF">
              <w:rPr>
                <w:rFonts w:ascii="Times New Roman" w:hAnsi="Times New Roman"/>
                <w:b/>
                <w:sz w:val="24"/>
                <w:szCs w:val="24"/>
                <w:lang w:val="lt-LT"/>
              </w:rPr>
              <w:t>Specialiųjų tyrimų tarnybos vertinimas</w:t>
            </w:r>
          </w:p>
        </w:tc>
      </w:tr>
      <w:tr w:rsidR="00751C87" w:rsidRPr="009877EF" w:rsidTr="009877EF">
        <w:tc>
          <w:tcPr>
            <w:tcW w:w="13575" w:type="dxa"/>
            <w:gridSpan w:val="3"/>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i/>
                <w:sz w:val="24"/>
                <w:szCs w:val="24"/>
                <w:lang w:val="lt-LT"/>
              </w:rPr>
              <w:t xml:space="preserve">1.Dėl korupcijos rizikos </w:t>
            </w:r>
            <w:r w:rsidR="00A35DB5" w:rsidRPr="009877EF">
              <w:rPr>
                <w:rFonts w:ascii="Times New Roman" w:hAnsi="Times New Roman"/>
                <w:i/>
                <w:sz w:val="24"/>
                <w:szCs w:val="24"/>
                <w:lang w:val="lt-LT"/>
              </w:rPr>
              <w:t xml:space="preserve">veiksnių mažinimo </w:t>
            </w:r>
            <w:r w:rsidRPr="009877EF">
              <w:rPr>
                <w:rFonts w:ascii="Times New Roman" w:hAnsi="Times New Roman"/>
                <w:i/>
                <w:sz w:val="24"/>
                <w:szCs w:val="24"/>
                <w:lang w:val="lt-LT"/>
              </w:rPr>
              <w:t>LNPA valdymo organizavimo srityje:</w:t>
            </w:r>
          </w:p>
        </w:tc>
      </w:tr>
      <w:tr w:rsidR="00751C87" w:rsidRPr="009877EF" w:rsidTr="009877EF">
        <w:tc>
          <w:tcPr>
            <w:tcW w:w="4644"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t>1.1. Atsižvelgiant į pastabas, išdėstytas korupcijos rizikos analizės 1 skyriaus 1 punkte, laikantis Valstybės turtinių ir neturtinių teisių įgyvendinimo valstybės valdomose įmonėse tvarkos apraše, patvirtintame Lietuvos Respublikos Vyriausybės 2012 m. birželio 6 d. nutarimu Nr. 665 (2014 m. birželio 25 d. redakcija) nustatytos tvarkos ir reikalavimų, VĮ LNPA suformuoti kolegialų valdymo organą – valdybą.</w:t>
            </w:r>
          </w:p>
        </w:tc>
        <w:tc>
          <w:tcPr>
            <w:tcW w:w="6379"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b/>
                <w:sz w:val="24"/>
                <w:szCs w:val="24"/>
                <w:lang w:val="lt-LT" w:eastAsia="lt-LT"/>
              </w:rPr>
              <w:t xml:space="preserve">Į rekomendaciją </w:t>
            </w:r>
            <w:r w:rsidRPr="009877EF">
              <w:rPr>
                <w:rFonts w:ascii="Times New Roman" w:hAnsi="Times New Roman"/>
                <w:b/>
                <w:sz w:val="24"/>
                <w:szCs w:val="24"/>
                <w:lang w:val="lt-LT"/>
              </w:rPr>
              <w:t>atsižvelgta</w:t>
            </w:r>
            <w:r w:rsidRPr="009877EF">
              <w:rPr>
                <w:rFonts w:ascii="Times New Roman" w:hAnsi="Times New Roman"/>
                <w:sz w:val="24"/>
                <w:szCs w:val="24"/>
                <w:lang w:val="lt-LT"/>
              </w:rPr>
              <w:t>.</w:t>
            </w:r>
          </w:p>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t xml:space="preserve">Vadovaujantis LR valstybės ir savivaldybių įmonių įstatymo ir Kandidatų į valstybės įmonės ar savivaldybės įmonės valdybą parinkimo tvarkos aprašo, patvirtinto Lietuvos Respublikos Vyriausybės 2015 m. birželio 17 d. nutarimu Nr. 631, nuostatomis EM yra priimtas Lietuvos Respublikos energetikos ministro 2015 m. rugsėjo 18 d. įsakymas Nr. 1-219 „Dėl kandidatų atrankos užimti valstybės įmonės Lietuvos naftos produktų agentūros valdybos nario pareigas organizavimo“. </w:t>
            </w:r>
          </w:p>
          <w:p w:rsidR="00902294" w:rsidRPr="009877EF" w:rsidRDefault="00902294"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t>Įvykdžius atranką, Lietuvos Respublikos energetikos ministro 2015 m. lapkričio 25 d. įsakymu Nr. 1-270 yra sudaryta 4 metams Agentūros valdyba, kurios nariais yra paskirti du Energetikos ministerijos tarnautojai bei vienas nepriklausomas narys.</w:t>
            </w:r>
          </w:p>
        </w:tc>
        <w:tc>
          <w:tcPr>
            <w:tcW w:w="2552" w:type="dxa"/>
          </w:tcPr>
          <w:p w:rsidR="00751C87" w:rsidRPr="009877EF" w:rsidRDefault="00CA5F6C" w:rsidP="009877EF">
            <w:pPr>
              <w:spacing w:after="0" w:line="240" w:lineRule="auto"/>
              <w:jc w:val="both"/>
              <w:rPr>
                <w:rFonts w:ascii="Times New Roman" w:hAnsi="Times New Roman"/>
                <w:b/>
                <w:color w:val="00B050"/>
                <w:sz w:val="24"/>
                <w:szCs w:val="24"/>
                <w:lang w:val="lt-LT"/>
              </w:rPr>
            </w:pPr>
            <w:r w:rsidRPr="009877EF">
              <w:rPr>
                <w:rFonts w:ascii="Times New Roman" w:hAnsi="Times New Roman"/>
                <w:b/>
                <w:color w:val="00B050"/>
                <w:sz w:val="24"/>
                <w:szCs w:val="24"/>
                <w:lang w:val="lt-LT"/>
              </w:rPr>
              <w:t>Įgyvendinta.</w:t>
            </w:r>
          </w:p>
          <w:p w:rsidR="009877EF" w:rsidRPr="009877EF" w:rsidRDefault="009877EF" w:rsidP="009877EF">
            <w:pPr>
              <w:spacing w:after="0" w:line="240" w:lineRule="auto"/>
              <w:jc w:val="both"/>
              <w:rPr>
                <w:rFonts w:ascii="Times New Roman" w:hAnsi="Times New Roman"/>
                <w:sz w:val="24"/>
                <w:szCs w:val="24"/>
                <w:lang w:val="lt-LT"/>
              </w:rPr>
            </w:pPr>
            <w:r w:rsidRPr="009877EF">
              <w:rPr>
                <w:rFonts w:ascii="Times New Roman" w:hAnsi="Times New Roman"/>
                <w:color w:val="00B050"/>
                <w:sz w:val="24"/>
                <w:szCs w:val="24"/>
                <w:lang w:val="lt-LT"/>
              </w:rPr>
              <w:t>Pastabų ir pasiūlymų nėra.</w:t>
            </w:r>
          </w:p>
        </w:tc>
      </w:tr>
      <w:tr w:rsidR="00751C87" w:rsidRPr="009877EF" w:rsidTr="009877EF">
        <w:tc>
          <w:tcPr>
            <w:tcW w:w="4644"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bCs/>
                <w:color w:val="000000"/>
                <w:sz w:val="24"/>
                <w:szCs w:val="24"/>
                <w:lang w:val="lt-LT"/>
              </w:rPr>
              <w:t xml:space="preserve">1.2. </w:t>
            </w:r>
            <w:r w:rsidRPr="009877EF">
              <w:rPr>
                <w:rFonts w:ascii="Times New Roman" w:hAnsi="Times New Roman"/>
                <w:sz w:val="24"/>
                <w:szCs w:val="24"/>
                <w:lang w:val="lt-LT"/>
              </w:rPr>
              <w:t>Atsižvelgiant į pastabas, išdėstytas korupcijos rizikos analizės 1 skyriaus 2</w:t>
            </w:r>
            <w:r w:rsidR="00F762C7" w:rsidRPr="009877EF">
              <w:rPr>
                <w:rFonts w:ascii="Times New Roman" w:hAnsi="Times New Roman"/>
                <w:sz w:val="24"/>
                <w:szCs w:val="24"/>
                <w:lang w:val="lt-LT"/>
              </w:rPr>
              <w:t xml:space="preserve"> punkte</w:t>
            </w:r>
            <w:r w:rsidRPr="009877EF">
              <w:rPr>
                <w:rFonts w:ascii="Times New Roman" w:hAnsi="Times New Roman"/>
                <w:sz w:val="24"/>
                <w:szCs w:val="24"/>
                <w:lang w:val="lt-LT"/>
              </w:rPr>
              <w:t xml:space="preserve"> </w:t>
            </w:r>
            <w:r w:rsidR="00F762C7" w:rsidRPr="009877EF">
              <w:rPr>
                <w:rFonts w:ascii="Times New Roman" w:hAnsi="Times New Roman"/>
                <w:sz w:val="24"/>
                <w:szCs w:val="24"/>
                <w:lang w:val="lt-LT"/>
              </w:rPr>
              <w:t xml:space="preserve">siūlome papildyti VĮ LNPA įstatus, detaliau reglamentuojant generalinio direktoriaus skyrimo į pareigas tvarką, be kita ko, nustatant per kiek laiko turi būti skelbiamas konkursas laisvoms valstybės valdomos įmonės vadovo pareigoms užimti, kokį laikotarpį valstybės </w:t>
            </w:r>
            <w:r w:rsidR="00F762C7" w:rsidRPr="009877EF">
              <w:rPr>
                <w:rFonts w:ascii="Times New Roman" w:hAnsi="Times New Roman"/>
                <w:sz w:val="24"/>
                <w:szCs w:val="24"/>
                <w:lang w:val="lt-LT"/>
              </w:rPr>
              <w:lastRenderedPageBreak/>
              <w:t>valdomai įmonei gali vadovauti laikinai pareigas einantis vadovas ir pan.</w:t>
            </w:r>
          </w:p>
        </w:tc>
        <w:tc>
          <w:tcPr>
            <w:tcW w:w="6379" w:type="dxa"/>
          </w:tcPr>
          <w:p w:rsidR="00C5078C" w:rsidRPr="009877EF" w:rsidRDefault="00C5078C" w:rsidP="009877EF">
            <w:pPr>
              <w:spacing w:after="0" w:line="240" w:lineRule="auto"/>
              <w:jc w:val="both"/>
              <w:rPr>
                <w:rFonts w:ascii="Times New Roman" w:hAnsi="Times New Roman"/>
                <w:b/>
                <w:sz w:val="24"/>
                <w:szCs w:val="24"/>
                <w:lang w:val="lt-LT"/>
              </w:rPr>
            </w:pPr>
            <w:r w:rsidRPr="009877EF">
              <w:rPr>
                <w:rFonts w:ascii="Times New Roman" w:hAnsi="Times New Roman"/>
                <w:b/>
                <w:sz w:val="24"/>
                <w:szCs w:val="24"/>
                <w:lang w:val="lt-LT" w:eastAsia="lt-LT"/>
              </w:rPr>
              <w:lastRenderedPageBreak/>
              <w:t xml:space="preserve">Į rekomendaciją </w:t>
            </w:r>
            <w:r w:rsidRPr="009877EF">
              <w:rPr>
                <w:rFonts w:ascii="Times New Roman" w:hAnsi="Times New Roman"/>
                <w:b/>
                <w:sz w:val="24"/>
                <w:szCs w:val="24"/>
                <w:lang w:val="lt-LT"/>
              </w:rPr>
              <w:t xml:space="preserve">atsižvelgta. </w:t>
            </w:r>
          </w:p>
          <w:p w:rsidR="00751C87" w:rsidRPr="009877EF" w:rsidRDefault="00C5078C"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t>Atsižvelgiant į STT išvadoje pateiktą rekomendaciją, Lietuvos Respublikos energetikos ministro 2015-11-18 įsakymu buvo patvirtinti Agentūros įstatai, kuriuose detaliau reglamentuota Agentūros generalinio direktoriaus skyrimo tvarka, nustatant laikotarpį</w:t>
            </w:r>
            <w:r w:rsidR="00CA5F6C" w:rsidRPr="009877EF">
              <w:rPr>
                <w:rFonts w:ascii="Times New Roman" w:hAnsi="Times New Roman"/>
                <w:sz w:val="24"/>
                <w:szCs w:val="24"/>
                <w:lang w:val="lt-LT"/>
              </w:rPr>
              <w:t>, kurį asmuo generalinio direktoriaus pareigas pagal terminuotą darbo sutartį gali užimti iki konkurso (vieneri metai).</w:t>
            </w:r>
          </w:p>
        </w:tc>
        <w:tc>
          <w:tcPr>
            <w:tcW w:w="2552" w:type="dxa"/>
          </w:tcPr>
          <w:p w:rsidR="009877EF" w:rsidRPr="009877EF" w:rsidRDefault="009877EF" w:rsidP="009877EF">
            <w:pPr>
              <w:spacing w:after="0" w:line="240" w:lineRule="auto"/>
              <w:jc w:val="both"/>
              <w:rPr>
                <w:rFonts w:ascii="Times New Roman" w:hAnsi="Times New Roman"/>
                <w:b/>
                <w:color w:val="00B050"/>
                <w:sz w:val="24"/>
                <w:szCs w:val="24"/>
                <w:lang w:val="lt-LT"/>
              </w:rPr>
            </w:pPr>
            <w:r w:rsidRPr="009877EF">
              <w:rPr>
                <w:rFonts w:ascii="Times New Roman" w:hAnsi="Times New Roman"/>
                <w:b/>
                <w:color w:val="00B050"/>
                <w:sz w:val="24"/>
                <w:szCs w:val="24"/>
                <w:lang w:val="lt-LT"/>
              </w:rPr>
              <w:t>Įgyvendinta.</w:t>
            </w:r>
          </w:p>
          <w:p w:rsidR="00751C87" w:rsidRPr="009877EF" w:rsidRDefault="009877EF" w:rsidP="009877EF">
            <w:pPr>
              <w:spacing w:after="0" w:line="240" w:lineRule="auto"/>
              <w:jc w:val="both"/>
              <w:rPr>
                <w:rFonts w:ascii="Times New Roman" w:hAnsi="Times New Roman"/>
                <w:b/>
                <w:sz w:val="24"/>
                <w:szCs w:val="24"/>
                <w:lang w:val="lt-LT"/>
              </w:rPr>
            </w:pPr>
            <w:r w:rsidRPr="009877EF">
              <w:rPr>
                <w:rFonts w:ascii="Times New Roman" w:hAnsi="Times New Roman"/>
                <w:color w:val="00B050"/>
                <w:sz w:val="24"/>
                <w:szCs w:val="24"/>
                <w:lang w:val="lt-LT"/>
              </w:rPr>
              <w:t>Pastabų ir pasiūlymų nėra.</w:t>
            </w:r>
          </w:p>
        </w:tc>
      </w:tr>
      <w:tr w:rsidR="00751C87" w:rsidRPr="009877EF" w:rsidTr="009877EF">
        <w:tc>
          <w:tcPr>
            <w:tcW w:w="4644"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lastRenderedPageBreak/>
              <w:t xml:space="preserve">1.3. Atsižvelgiant į pastabas, išdėstytas korupcijos rizikos analizės 1 skyriaus </w:t>
            </w:r>
            <w:r w:rsidR="00A35DB5" w:rsidRPr="009877EF">
              <w:rPr>
                <w:rFonts w:ascii="Times New Roman" w:hAnsi="Times New Roman"/>
                <w:sz w:val="24"/>
                <w:szCs w:val="24"/>
                <w:lang w:val="lt-LT"/>
              </w:rPr>
              <w:t>3</w:t>
            </w:r>
            <w:r w:rsidRPr="009877EF">
              <w:rPr>
                <w:rFonts w:ascii="Times New Roman" w:hAnsi="Times New Roman"/>
                <w:sz w:val="24"/>
                <w:szCs w:val="24"/>
                <w:lang w:val="lt-LT"/>
              </w:rPr>
              <w:t xml:space="preserve"> punkte, </w:t>
            </w:r>
            <w:r w:rsidR="00A35DB5" w:rsidRPr="009877EF">
              <w:rPr>
                <w:rFonts w:ascii="Times New Roman" w:hAnsi="Times New Roman"/>
                <w:sz w:val="24"/>
                <w:szCs w:val="24"/>
                <w:lang w:val="lt-LT"/>
              </w:rPr>
              <w:t>siūlome, pakeisti 2013 m. gegužės 24 d. energetikos ministro įsakymu Nr. 1-108 patvirtintą VĮ LNPA organizacinę struktūrą siekiant užtikrinti, kad ji atitiktų Vykdomosios valdžios sistemos sandaros tobulinimo koncepcijos, patvirtintos Lietuvos Respublikos Vyriausybės 2009 m. lapkričio 11 d. nutarimu Nr. 1511 (su 2010 m. rugsėjo 22 d. nutarimo Nr. 1389 pakeitimais) ir į Viešojo valdymo tobulinimo 2012-2020 metų programos, patvirtintos Lietuvos Respublikos Vyriausybės 2012 m. vasario 7 d. nutarimu Nr. 171, nuostatas, Valstybės vykdomosios valdžios sistemos įstaigų administracinių struktūrų tobulinimo rekomendacijas</w:t>
            </w:r>
            <w:r w:rsidRPr="009877EF">
              <w:rPr>
                <w:rFonts w:ascii="Times New Roman" w:hAnsi="Times New Roman"/>
                <w:sz w:val="24"/>
                <w:szCs w:val="24"/>
                <w:lang w:val="lt-LT"/>
              </w:rPr>
              <w:t>.</w:t>
            </w:r>
          </w:p>
        </w:tc>
        <w:tc>
          <w:tcPr>
            <w:tcW w:w="6379" w:type="dxa"/>
          </w:tcPr>
          <w:p w:rsidR="009877EF" w:rsidRDefault="009877EF" w:rsidP="009877EF">
            <w:pPr>
              <w:pStyle w:val="Pagrindinistekstas2"/>
              <w:shd w:val="clear" w:color="auto" w:fill="auto"/>
              <w:spacing w:after="0" w:line="280" w:lineRule="exact"/>
              <w:ind w:left="20" w:firstLine="0"/>
              <w:jc w:val="both"/>
              <w:rPr>
                <w:color w:val="000000"/>
                <w:sz w:val="24"/>
                <w:szCs w:val="24"/>
                <w:lang w:bidi="lt-LT"/>
              </w:rPr>
            </w:pPr>
            <w:r>
              <w:rPr>
                <w:color w:val="000000"/>
                <w:sz w:val="24"/>
                <w:szCs w:val="24"/>
                <w:lang w:bidi="lt-LT"/>
              </w:rPr>
              <w:t xml:space="preserve">Lietuvos Respublikos Vyriausybės </w:t>
            </w:r>
            <w:r w:rsidRPr="00F921D3">
              <w:rPr>
                <w:color w:val="000000"/>
                <w:sz w:val="24"/>
                <w:szCs w:val="24"/>
                <w:lang w:bidi="lt-LT"/>
              </w:rPr>
              <w:t xml:space="preserve">2017 m. gegužės 10 d. </w:t>
            </w:r>
            <w:r>
              <w:rPr>
                <w:color w:val="000000"/>
                <w:sz w:val="24"/>
                <w:szCs w:val="24"/>
                <w:lang w:bidi="lt-LT"/>
              </w:rPr>
              <w:t>pasitarime (protokolas Nr. 18)  nuspręsta atsižvelgti į Energetikos ministerijos siūlymu</w:t>
            </w:r>
            <w:r w:rsidRPr="00F921D3">
              <w:rPr>
                <w:color w:val="000000"/>
                <w:sz w:val="24"/>
                <w:szCs w:val="24"/>
                <w:lang w:bidi="lt-LT"/>
              </w:rPr>
              <w:t>s dėl energetikos srityje veikiančių valstybės įmo</w:t>
            </w:r>
            <w:r>
              <w:rPr>
                <w:color w:val="000000"/>
                <w:sz w:val="24"/>
                <w:szCs w:val="24"/>
                <w:lang w:bidi="lt-LT"/>
              </w:rPr>
              <w:t xml:space="preserve">nių veiklos efektyvumo didinimo. Lietuvos Respublikos Vyriausybė pritarė pasiūlymams likviduoti </w:t>
            </w:r>
            <w:r w:rsidRPr="00F921D3">
              <w:rPr>
                <w:color w:val="000000"/>
                <w:sz w:val="24"/>
                <w:szCs w:val="24"/>
                <w:lang w:bidi="lt-LT"/>
              </w:rPr>
              <w:t xml:space="preserve">dvi valstybės įmones – </w:t>
            </w:r>
            <w:r>
              <w:rPr>
                <w:color w:val="000000"/>
                <w:sz w:val="24"/>
                <w:szCs w:val="24"/>
                <w:lang w:bidi="lt-LT"/>
              </w:rPr>
              <w:t xml:space="preserve">valstybės įmonę </w:t>
            </w:r>
            <w:r w:rsidRPr="00F921D3">
              <w:rPr>
                <w:color w:val="000000"/>
                <w:sz w:val="24"/>
                <w:szCs w:val="24"/>
                <w:lang w:bidi="lt-LT"/>
              </w:rPr>
              <w:t>Energetikos agentūrą</w:t>
            </w:r>
            <w:r>
              <w:rPr>
                <w:color w:val="000000"/>
                <w:sz w:val="24"/>
                <w:szCs w:val="24"/>
                <w:lang w:bidi="lt-LT"/>
              </w:rPr>
              <w:t xml:space="preserve"> ir LNPA</w:t>
            </w:r>
            <w:r w:rsidRPr="00F921D3">
              <w:rPr>
                <w:color w:val="000000"/>
                <w:sz w:val="24"/>
                <w:szCs w:val="24"/>
                <w:lang w:bidi="lt-LT"/>
              </w:rPr>
              <w:t xml:space="preserve">, kurių savininko teises ir pareigas </w:t>
            </w:r>
            <w:r>
              <w:rPr>
                <w:color w:val="000000"/>
                <w:sz w:val="24"/>
                <w:szCs w:val="24"/>
                <w:lang w:bidi="lt-LT"/>
              </w:rPr>
              <w:t>įgyvendina</w:t>
            </w:r>
            <w:r w:rsidRPr="00F921D3">
              <w:rPr>
                <w:color w:val="000000"/>
                <w:sz w:val="24"/>
                <w:szCs w:val="24"/>
                <w:lang w:bidi="lt-LT"/>
              </w:rPr>
              <w:t xml:space="preserve"> Energetikos ministerija, o </w:t>
            </w:r>
            <w:r>
              <w:rPr>
                <w:color w:val="000000"/>
                <w:sz w:val="24"/>
                <w:szCs w:val="24"/>
                <w:lang w:bidi="lt-LT"/>
              </w:rPr>
              <w:t>jų vykdomas</w:t>
            </w:r>
            <w:r w:rsidRPr="00F921D3">
              <w:rPr>
                <w:color w:val="000000"/>
                <w:sz w:val="24"/>
                <w:szCs w:val="24"/>
                <w:lang w:bidi="lt-LT"/>
              </w:rPr>
              <w:t xml:space="preserve"> fu</w:t>
            </w:r>
            <w:r>
              <w:rPr>
                <w:color w:val="000000"/>
                <w:sz w:val="24"/>
                <w:szCs w:val="24"/>
                <w:lang w:bidi="lt-LT"/>
              </w:rPr>
              <w:t xml:space="preserve">nkcijas perduoti naujai įsteigtai viešajai įstaigai Lietuvos energetikos agentūrai (toliau – Lietuvos energetikos agentūra). </w:t>
            </w:r>
            <w:r w:rsidRPr="00E65B69">
              <w:rPr>
                <w:color w:val="000000"/>
                <w:sz w:val="24"/>
                <w:szCs w:val="24"/>
                <w:lang w:bidi="lt-LT"/>
              </w:rPr>
              <w:t xml:space="preserve"> </w:t>
            </w:r>
          </w:p>
          <w:p w:rsidR="00751C87" w:rsidRPr="009877EF" w:rsidRDefault="00751C87" w:rsidP="009877EF">
            <w:pPr>
              <w:spacing w:after="0" w:line="240" w:lineRule="auto"/>
              <w:jc w:val="both"/>
              <w:rPr>
                <w:rFonts w:ascii="Times New Roman" w:hAnsi="Times New Roman"/>
                <w:sz w:val="24"/>
                <w:szCs w:val="24"/>
                <w:lang w:val="lt-LT"/>
              </w:rPr>
            </w:pPr>
          </w:p>
        </w:tc>
        <w:tc>
          <w:tcPr>
            <w:tcW w:w="2552" w:type="dxa"/>
          </w:tcPr>
          <w:p w:rsidR="00CA5F6C" w:rsidRPr="009877EF" w:rsidRDefault="009877EF" w:rsidP="009877EF">
            <w:pPr>
              <w:spacing w:after="0" w:line="240" w:lineRule="auto"/>
              <w:jc w:val="both"/>
              <w:rPr>
                <w:rFonts w:ascii="Times New Roman" w:hAnsi="Times New Roman"/>
                <w:sz w:val="24"/>
                <w:szCs w:val="24"/>
                <w:lang w:val="lt-LT"/>
              </w:rPr>
            </w:pPr>
            <w:r>
              <w:rPr>
                <w:rFonts w:ascii="Times New Roman" w:hAnsi="Times New Roman"/>
                <w:b/>
                <w:sz w:val="24"/>
                <w:szCs w:val="24"/>
                <w:lang w:val="lt-LT"/>
              </w:rPr>
              <w:t>Pasiūlymas laikytinas neaktualiu</w:t>
            </w:r>
          </w:p>
        </w:tc>
      </w:tr>
      <w:tr w:rsidR="00751C87" w:rsidRPr="009877EF" w:rsidTr="009877EF">
        <w:tc>
          <w:tcPr>
            <w:tcW w:w="13575" w:type="dxa"/>
            <w:gridSpan w:val="3"/>
          </w:tcPr>
          <w:p w:rsidR="00751C87" w:rsidRPr="009877EF" w:rsidRDefault="00751C87" w:rsidP="009877EF">
            <w:pPr>
              <w:spacing w:after="0" w:line="240" w:lineRule="auto"/>
              <w:jc w:val="both"/>
              <w:rPr>
                <w:rFonts w:ascii="Times New Roman" w:hAnsi="Times New Roman"/>
                <w:bCs/>
                <w:color w:val="000000"/>
                <w:sz w:val="24"/>
                <w:szCs w:val="24"/>
                <w:lang w:val="lt-LT"/>
              </w:rPr>
            </w:pPr>
            <w:r w:rsidRPr="009877EF">
              <w:rPr>
                <w:rFonts w:ascii="Times New Roman" w:hAnsi="Times New Roman"/>
                <w:i/>
                <w:sz w:val="24"/>
                <w:szCs w:val="24"/>
                <w:lang w:val="lt-LT"/>
              </w:rPr>
              <w:t xml:space="preserve">2. </w:t>
            </w:r>
            <w:r w:rsidR="00A35DB5" w:rsidRPr="009877EF">
              <w:rPr>
                <w:rFonts w:ascii="Times New Roman" w:hAnsi="Times New Roman"/>
                <w:i/>
                <w:sz w:val="24"/>
                <w:szCs w:val="24"/>
                <w:lang w:val="lt-LT"/>
              </w:rPr>
              <w:t>Dėl korupcijos rizikos veiksnių mažinimo VĮ LNPA veiklos tikslų nustatymo, jų įgyvendinimo kontrolės ir veiklos priežiūros užtikrinimo srityje:</w:t>
            </w:r>
          </w:p>
        </w:tc>
      </w:tr>
      <w:tr w:rsidR="00751C87" w:rsidRPr="009877EF" w:rsidTr="009877EF">
        <w:tc>
          <w:tcPr>
            <w:tcW w:w="4644"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t xml:space="preserve">2.1. Atsižvelgiant į pastabas, išdėstytas korupcijos rizikos analizės 2 skyriaus 1 punkte, </w:t>
            </w:r>
            <w:r w:rsidR="00A35DB5" w:rsidRPr="009877EF">
              <w:rPr>
                <w:rFonts w:ascii="Times New Roman" w:hAnsi="Times New Roman"/>
                <w:sz w:val="24"/>
                <w:szCs w:val="24"/>
                <w:lang w:val="lt-LT"/>
              </w:rPr>
              <w:t xml:space="preserve">siūlome inicijuoti </w:t>
            </w:r>
            <w:r w:rsidR="00A35DB5" w:rsidRPr="009877EF">
              <w:rPr>
                <w:rFonts w:ascii="Times New Roman" w:hAnsi="Times New Roman"/>
                <w:bCs/>
                <w:sz w:val="24"/>
                <w:szCs w:val="24"/>
                <w:lang w:val="lt-LT"/>
              </w:rPr>
              <w:t xml:space="preserve">Naftos produktų ir naftos valstybės atsargų sudarymo, tvarkymo, kaupimo ir priežiūros taisyklių, patvirtintų Lietuvos Respublikos Vyriausybės 2002 m. gruodžio 5 d. nutarimu Nr. 279 (2013 m. kovo 27 d. nutarimo Nr. 279 redakcija) pakeitimą, nustatant aiškius ir skaidrius </w:t>
            </w:r>
            <w:r w:rsidR="00A35DB5" w:rsidRPr="009877EF">
              <w:rPr>
                <w:rFonts w:ascii="Times New Roman" w:hAnsi="Times New Roman"/>
                <w:sz w:val="24"/>
                <w:szCs w:val="24"/>
                <w:lang w:val="lt-LT"/>
              </w:rPr>
              <w:t xml:space="preserve">Energetikos ministerijos sprendimų dėl </w:t>
            </w:r>
            <w:r w:rsidR="00A35DB5" w:rsidRPr="009877EF">
              <w:rPr>
                <w:rFonts w:ascii="Times New Roman" w:hAnsi="Times New Roman"/>
                <w:color w:val="000000"/>
                <w:sz w:val="24"/>
                <w:szCs w:val="24"/>
                <w:lang w:val="lt-LT"/>
              </w:rPr>
              <w:t xml:space="preserve">perteklinių naftos produktų valstybės atsargų panaudojimo priėmimo kriterijus ir principus, nustatyti ne tik minimalių bet ir maksimalių privalomų </w:t>
            </w:r>
            <w:r w:rsidR="00A35DB5" w:rsidRPr="009877EF">
              <w:rPr>
                <w:rFonts w:ascii="Times New Roman" w:hAnsi="Times New Roman"/>
                <w:color w:val="000000"/>
                <w:sz w:val="24"/>
                <w:szCs w:val="24"/>
                <w:lang w:val="lt-LT"/>
              </w:rPr>
              <w:lastRenderedPageBreak/>
              <w:t xml:space="preserve">sukaupti naftos atsargų kiekių apskaičiavimo kriterijus ir tvarką, detaliau reglamentuoti centralizuoto naftos produktų valstybės atsargų kaupimo ir tvarkymo pagal įpareigotųjų įmonių paraiškas procedūrinę tvarką. Taip pat siūlome stiprinti Energetikos ministerijos vidaus kontrolės sistemos veiksmingumą, siekiant užkirsti kelią </w:t>
            </w:r>
            <w:r w:rsidR="00A35DB5" w:rsidRPr="009877EF">
              <w:rPr>
                <w:rFonts w:ascii="Times New Roman" w:hAnsi="Times New Roman"/>
                <w:sz w:val="24"/>
                <w:szCs w:val="24"/>
                <w:lang w:val="lt-LT"/>
              </w:rPr>
              <w:t>neracionaliam ir neskaidriam valstybės turto naudojimui įgyvendinant Energetikos ministerijos „valstybės naftos produktų atsargų kaupimas ir tvarkymas“ programą.</w:t>
            </w:r>
          </w:p>
        </w:tc>
        <w:tc>
          <w:tcPr>
            <w:tcW w:w="6379" w:type="dxa"/>
          </w:tcPr>
          <w:p w:rsidR="00751C87" w:rsidRPr="009877EF" w:rsidRDefault="00751C87" w:rsidP="009877EF">
            <w:pPr>
              <w:spacing w:after="0" w:line="240" w:lineRule="auto"/>
              <w:jc w:val="both"/>
              <w:rPr>
                <w:rFonts w:ascii="Times New Roman" w:hAnsi="Times New Roman"/>
                <w:b/>
                <w:sz w:val="24"/>
                <w:szCs w:val="24"/>
                <w:lang w:val="lt-LT"/>
              </w:rPr>
            </w:pPr>
            <w:r w:rsidRPr="009877EF">
              <w:rPr>
                <w:rFonts w:ascii="Times New Roman" w:hAnsi="Times New Roman"/>
                <w:b/>
                <w:sz w:val="24"/>
                <w:szCs w:val="24"/>
                <w:lang w:val="lt-LT" w:eastAsia="lt-LT"/>
              </w:rPr>
              <w:lastRenderedPageBreak/>
              <w:t xml:space="preserve">Į rekomendaciją </w:t>
            </w:r>
            <w:r w:rsidRPr="009877EF">
              <w:rPr>
                <w:rFonts w:ascii="Times New Roman" w:hAnsi="Times New Roman"/>
                <w:b/>
                <w:sz w:val="24"/>
                <w:szCs w:val="24"/>
                <w:lang w:val="lt-LT"/>
              </w:rPr>
              <w:t xml:space="preserve">atsižvelgta. </w:t>
            </w:r>
          </w:p>
          <w:p w:rsidR="002025E2" w:rsidRPr="009877EF" w:rsidRDefault="003B6D74" w:rsidP="009877EF">
            <w:pPr>
              <w:spacing w:after="0" w:line="240" w:lineRule="auto"/>
              <w:jc w:val="both"/>
              <w:rPr>
                <w:rFonts w:ascii="Times New Roman" w:hAnsi="Times New Roman"/>
                <w:bCs/>
                <w:sz w:val="24"/>
                <w:szCs w:val="24"/>
                <w:lang w:val="lt-LT"/>
              </w:rPr>
            </w:pPr>
            <w:r w:rsidRPr="009877EF">
              <w:rPr>
                <w:rFonts w:ascii="Times New Roman" w:hAnsi="Times New Roman"/>
                <w:bCs/>
                <w:sz w:val="24"/>
                <w:szCs w:val="24"/>
                <w:lang w:val="lt-LT"/>
              </w:rPr>
              <w:t>Naftos produktų ir naftos valstybės atsargų sudarymo, tvarkymo, kaupimo ir priežiūros taisyklių, patvirtintų Lietuvos Respublikos Vyriausybės 2002 m. gruodžio 5 d. nutarimu Nr. 279</w:t>
            </w:r>
            <w:r w:rsidR="002025E2" w:rsidRPr="009877EF">
              <w:rPr>
                <w:rFonts w:ascii="Times New Roman" w:hAnsi="Times New Roman"/>
                <w:bCs/>
                <w:sz w:val="24"/>
                <w:szCs w:val="24"/>
                <w:lang w:val="lt-LT"/>
              </w:rPr>
              <w:t>:</w:t>
            </w:r>
          </w:p>
          <w:p w:rsidR="00CA5F6C" w:rsidRPr="009877EF" w:rsidRDefault="002025E2" w:rsidP="009877EF">
            <w:pPr>
              <w:spacing w:after="0" w:line="240" w:lineRule="auto"/>
              <w:jc w:val="both"/>
              <w:rPr>
                <w:rFonts w:ascii="Times New Roman" w:hAnsi="Times New Roman"/>
                <w:bCs/>
                <w:sz w:val="24"/>
                <w:szCs w:val="24"/>
                <w:lang w:val="lt-LT"/>
              </w:rPr>
            </w:pPr>
            <w:r w:rsidRPr="009877EF">
              <w:rPr>
                <w:rFonts w:ascii="Times New Roman" w:hAnsi="Times New Roman"/>
                <w:bCs/>
                <w:sz w:val="24"/>
                <w:szCs w:val="24"/>
                <w:lang w:val="lt-LT"/>
              </w:rPr>
              <w:t>-</w:t>
            </w:r>
            <w:r w:rsidR="00CA5F6C" w:rsidRPr="009877EF">
              <w:rPr>
                <w:rFonts w:ascii="Times New Roman" w:hAnsi="Times New Roman"/>
                <w:bCs/>
                <w:sz w:val="24"/>
                <w:szCs w:val="24"/>
                <w:lang w:val="lt-LT"/>
              </w:rPr>
              <w:t xml:space="preserve"> 12 ir 13 punktai</w:t>
            </w:r>
            <w:r w:rsidRPr="009877EF">
              <w:rPr>
                <w:rFonts w:ascii="Times New Roman" w:hAnsi="Times New Roman"/>
                <w:bCs/>
                <w:sz w:val="24"/>
                <w:szCs w:val="24"/>
                <w:lang w:val="lt-LT"/>
              </w:rPr>
              <w:t xml:space="preserve"> Lietuvos Respublikos Vyriausybės 2016-03-30 nutarimu Nr. 302 papildyti</w:t>
            </w:r>
            <w:r w:rsidR="00CA5F6C" w:rsidRPr="009877EF">
              <w:rPr>
                <w:rFonts w:ascii="Times New Roman" w:hAnsi="Times New Roman"/>
                <w:bCs/>
                <w:sz w:val="24"/>
                <w:szCs w:val="24"/>
                <w:lang w:val="lt-LT"/>
              </w:rPr>
              <w:t xml:space="preserve"> nuostatomis įpareigojančiomis Agentūrą pateikti Energetikos ministerijai informaciją apie sukauptą atsargų kiekį pag</w:t>
            </w:r>
            <w:r w:rsidRPr="009877EF">
              <w:rPr>
                <w:rFonts w:ascii="Times New Roman" w:hAnsi="Times New Roman"/>
                <w:bCs/>
                <w:sz w:val="24"/>
                <w:szCs w:val="24"/>
                <w:lang w:val="lt-LT"/>
              </w:rPr>
              <w:t>al atsargų kategorijas;</w:t>
            </w:r>
          </w:p>
          <w:p w:rsidR="002025E2" w:rsidRPr="009877EF" w:rsidRDefault="002025E2" w:rsidP="009877EF">
            <w:pPr>
              <w:spacing w:after="0" w:line="240" w:lineRule="auto"/>
              <w:jc w:val="both"/>
              <w:rPr>
                <w:rFonts w:ascii="Times New Roman" w:hAnsi="Times New Roman"/>
                <w:bCs/>
                <w:sz w:val="24"/>
                <w:szCs w:val="24"/>
                <w:lang w:val="lt-LT"/>
              </w:rPr>
            </w:pPr>
            <w:r w:rsidRPr="009877EF">
              <w:rPr>
                <w:rFonts w:ascii="Times New Roman" w:hAnsi="Times New Roman"/>
                <w:bCs/>
                <w:sz w:val="24"/>
                <w:szCs w:val="24"/>
                <w:lang w:val="lt-LT"/>
              </w:rPr>
              <w:t>- papildytos 16</w:t>
            </w:r>
            <w:r w:rsidRPr="009877EF">
              <w:rPr>
                <w:rFonts w:ascii="Times New Roman" w:hAnsi="Times New Roman"/>
                <w:bCs/>
                <w:sz w:val="24"/>
                <w:szCs w:val="24"/>
                <w:vertAlign w:val="superscript"/>
                <w:lang w:val="lt-LT"/>
              </w:rPr>
              <w:t xml:space="preserve">1 </w:t>
            </w:r>
            <w:r w:rsidRPr="009877EF">
              <w:rPr>
                <w:rFonts w:ascii="Times New Roman" w:hAnsi="Times New Roman"/>
                <w:bCs/>
                <w:sz w:val="24"/>
                <w:szCs w:val="24"/>
                <w:lang w:val="lt-LT"/>
              </w:rPr>
              <w:t>ir 16</w:t>
            </w:r>
            <w:r w:rsidRPr="009877EF">
              <w:rPr>
                <w:rFonts w:ascii="Times New Roman" w:hAnsi="Times New Roman"/>
                <w:bCs/>
                <w:sz w:val="24"/>
                <w:szCs w:val="24"/>
                <w:vertAlign w:val="superscript"/>
                <w:lang w:val="lt-LT"/>
              </w:rPr>
              <w:t>2</w:t>
            </w:r>
            <w:r w:rsidRPr="009877EF">
              <w:rPr>
                <w:rFonts w:ascii="Times New Roman" w:hAnsi="Times New Roman"/>
                <w:bCs/>
                <w:sz w:val="24"/>
                <w:szCs w:val="24"/>
                <w:lang w:val="lt-LT"/>
              </w:rPr>
              <w:t xml:space="preserve">punktais, kuriuose Agentūra įpareigojama sudaryti susitarimus su įpareigotomis įmonėmis, pateikusiomis prašymus dėl atsargų kaupimo ir tvarkymo Lietuvos Respublikos naftos produktų ir naftos valstybės atsargų įstatymo nustatytais terminais, dėl jų prašymuose nurodytų atsargų kiekio kaupimo ir </w:t>
            </w:r>
            <w:r w:rsidRPr="009877EF">
              <w:rPr>
                <w:rFonts w:ascii="Times New Roman" w:hAnsi="Times New Roman"/>
                <w:bCs/>
                <w:sz w:val="24"/>
                <w:szCs w:val="24"/>
                <w:lang w:val="lt-LT"/>
              </w:rPr>
              <w:lastRenderedPageBreak/>
              <w:t>tvarkymo, taip pat prievolė Agentūrai įvertinti centralizuoto atsargų kaupimo vykdymui reikalingų atsargų sandėliavimo (terminalo) paslaugų, atsargų ar reikalavimo teisių į atsargas įgijimo poreikį, ir jei yra poreikis, organizuoti jų įsigijimą.</w:t>
            </w:r>
          </w:p>
          <w:p w:rsidR="002025E2" w:rsidRPr="009877EF" w:rsidRDefault="002025E2" w:rsidP="009877EF">
            <w:pPr>
              <w:spacing w:after="0" w:line="240" w:lineRule="auto"/>
              <w:jc w:val="both"/>
              <w:rPr>
                <w:rFonts w:ascii="Times New Roman" w:hAnsi="Times New Roman"/>
                <w:bCs/>
                <w:sz w:val="24"/>
                <w:szCs w:val="24"/>
                <w:lang w:val="lt-LT"/>
              </w:rPr>
            </w:pPr>
            <w:r w:rsidRPr="009877EF">
              <w:rPr>
                <w:rFonts w:ascii="Times New Roman" w:hAnsi="Times New Roman"/>
                <w:bCs/>
                <w:sz w:val="24"/>
                <w:szCs w:val="24"/>
                <w:lang w:val="lt-LT"/>
              </w:rPr>
              <w:t xml:space="preserve">Agentūra 2016 m. į Energetikos ministeriją raštu kreipėsi 35 kartus: teikdama informaciją apie veiklą, vykdomas užduotis, įvairias ataskaitas, derindamas Energetikos ministerijos pateiktus teisės aktus ir pan. </w:t>
            </w:r>
            <w:r w:rsidR="00622E06" w:rsidRPr="009877EF">
              <w:rPr>
                <w:rFonts w:ascii="Times New Roman" w:hAnsi="Times New Roman"/>
                <w:bCs/>
                <w:sz w:val="24"/>
                <w:szCs w:val="24"/>
                <w:lang w:val="lt-LT"/>
              </w:rPr>
              <w:t>Agentūrai kreipiantis į Energetikos ministeriją leidimo ar pritarimo, kiekvieną kartą buvo įvertinami pateikti dokumentai, prašymo pagrįstumas ir, vadovaujantis teisės aktais, nurodytais terminais priimamas pagrįstas sprendimas. Todėl Energetikos ministerija, turėdama visą reikiamą informaciją, gali užtikrinti tinkamą ir savalaikę kontrolę, siekiant veiksmingai ir naudingiausiai valstybės atžvilgiu organizuoti Agentūros darbą.</w:t>
            </w:r>
          </w:p>
          <w:p w:rsidR="00751C87" w:rsidRPr="009877EF" w:rsidRDefault="00751C87" w:rsidP="009877EF">
            <w:pPr>
              <w:spacing w:after="0" w:line="240" w:lineRule="auto"/>
              <w:jc w:val="both"/>
              <w:rPr>
                <w:rFonts w:ascii="Times New Roman" w:hAnsi="Times New Roman"/>
                <w:sz w:val="24"/>
                <w:szCs w:val="24"/>
                <w:lang w:val="lt-LT"/>
              </w:rPr>
            </w:pPr>
          </w:p>
        </w:tc>
        <w:tc>
          <w:tcPr>
            <w:tcW w:w="2552" w:type="dxa"/>
          </w:tcPr>
          <w:p w:rsidR="009877EF" w:rsidRPr="009877EF" w:rsidRDefault="009877EF" w:rsidP="009877EF">
            <w:pPr>
              <w:spacing w:after="0" w:line="240" w:lineRule="auto"/>
              <w:jc w:val="both"/>
              <w:rPr>
                <w:rFonts w:ascii="Times New Roman" w:hAnsi="Times New Roman"/>
                <w:b/>
                <w:color w:val="00B050"/>
                <w:sz w:val="24"/>
                <w:szCs w:val="24"/>
                <w:lang w:val="lt-LT"/>
              </w:rPr>
            </w:pPr>
            <w:r w:rsidRPr="009877EF">
              <w:rPr>
                <w:rFonts w:ascii="Times New Roman" w:hAnsi="Times New Roman"/>
                <w:b/>
                <w:color w:val="00B050"/>
                <w:sz w:val="24"/>
                <w:szCs w:val="24"/>
                <w:lang w:val="lt-LT"/>
              </w:rPr>
              <w:lastRenderedPageBreak/>
              <w:t>Įgyvendinta.</w:t>
            </w:r>
          </w:p>
          <w:p w:rsidR="00751C87" w:rsidRPr="009877EF" w:rsidRDefault="009877EF" w:rsidP="009877EF">
            <w:pPr>
              <w:spacing w:after="0" w:line="240" w:lineRule="auto"/>
              <w:jc w:val="both"/>
              <w:rPr>
                <w:rFonts w:ascii="Times New Roman" w:hAnsi="Times New Roman"/>
                <w:b/>
                <w:sz w:val="24"/>
                <w:szCs w:val="24"/>
                <w:lang w:val="lt-LT"/>
              </w:rPr>
            </w:pPr>
            <w:r w:rsidRPr="009877EF">
              <w:rPr>
                <w:rFonts w:ascii="Times New Roman" w:hAnsi="Times New Roman"/>
                <w:color w:val="00B050"/>
                <w:sz w:val="24"/>
                <w:szCs w:val="24"/>
                <w:lang w:val="lt-LT"/>
              </w:rPr>
              <w:t>Pastabų ir pasiūlymų nėra.</w:t>
            </w:r>
          </w:p>
        </w:tc>
      </w:tr>
      <w:tr w:rsidR="00751C87" w:rsidRPr="009877EF" w:rsidTr="009877EF">
        <w:tc>
          <w:tcPr>
            <w:tcW w:w="4644"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lastRenderedPageBreak/>
              <w:t xml:space="preserve">2.2. Atsižvelgiant į pastabas, išdėstytas korupcijos rizikos analizės 2 skyriaus 2 punkte, </w:t>
            </w:r>
            <w:r w:rsidR="0010530B" w:rsidRPr="009877EF">
              <w:rPr>
                <w:rFonts w:ascii="Times New Roman" w:hAnsi="Times New Roman"/>
                <w:sz w:val="24"/>
                <w:szCs w:val="24"/>
                <w:lang w:val="lt-LT"/>
              </w:rPr>
              <w:t xml:space="preserve">siūlome </w:t>
            </w:r>
            <w:r w:rsidR="0010530B" w:rsidRPr="009877EF">
              <w:rPr>
                <w:rFonts w:ascii="Times New Roman" w:hAnsi="Times New Roman"/>
                <w:color w:val="000000"/>
                <w:sz w:val="24"/>
                <w:szCs w:val="24"/>
                <w:lang w:val="lt-LT"/>
              </w:rPr>
              <w:t xml:space="preserve">stiprinti Energetikos ministerijos vidaus kontrolės sistemos veiksmingumą užtikrinant, kad energetikos ministerijos sprendimai </w:t>
            </w:r>
            <w:r w:rsidR="0010530B" w:rsidRPr="009877EF">
              <w:rPr>
                <w:rFonts w:ascii="Times New Roman" w:hAnsi="Times New Roman"/>
                <w:sz w:val="24"/>
                <w:szCs w:val="24"/>
                <w:lang w:val="lt-LT"/>
              </w:rPr>
              <w:t xml:space="preserve">leisti VĮ LNPA panaudoti perteklinį naftos produktų valstybės atsargų kiekį, susitarimų pagrindu suteikiant į jį reikalavimo teises įpareigotosioms įmonėms, būtų priimami griežtai laikantis Lietuvos Respublikos </w:t>
            </w:r>
            <w:r w:rsidR="0010530B" w:rsidRPr="009877EF">
              <w:rPr>
                <w:rFonts w:ascii="Times New Roman" w:hAnsi="Times New Roman"/>
                <w:bCs/>
                <w:sz w:val="24"/>
                <w:szCs w:val="24"/>
                <w:lang w:val="lt-LT"/>
              </w:rPr>
              <w:t>įstatymuose</w:t>
            </w:r>
            <w:r w:rsidR="0010530B" w:rsidRPr="009877EF">
              <w:rPr>
                <w:rFonts w:ascii="Times New Roman" w:hAnsi="Times New Roman"/>
                <w:sz w:val="24"/>
                <w:szCs w:val="24"/>
                <w:shd w:val="clear" w:color="auto" w:fill="FFFFFF"/>
                <w:lang w:val="lt-LT"/>
              </w:rPr>
              <w:t xml:space="preserve"> įtvirtintų reikalavimų</w:t>
            </w:r>
            <w:r w:rsidRPr="009877EF">
              <w:rPr>
                <w:rFonts w:ascii="Times New Roman" w:hAnsi="Times New Roman"/>
                <w:sz w:val="24"/>
                <w:szCs w:val="24"/>
                <w:lang w:val="lt-LT"/>
              </w:rPr>
              <w:t>.</w:t>
            </w:r>
          </w:p>
        </w:tc>
        <w:tc>
          <w:tcPr>
            <w:tcW w:w="6379"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b/>
                <w:sz w:val="24"/>
                <w:szCs w:val="24"/>
                <w:lang w:val="lt-LT" w:eastAsia="lt-LT"/>
              </w:rPr>
              <w:t xml:space="preserve">Į rekomendaciją </w:t>
            </w:r>
            <w:r w:rsidRPr="009877EF">
              <w:rPr>
                <w:rFonts w:ascii="Times New Roman" w:hAnsi="Times New Roman"/>
                <w:b/>
                <w:sz w:val="24"/>
                <w:szCs w:val="24"/>
                <w:lang w:val="lt-LT"/>
              </w:rPr>
              <w:t>atsižvelgta</w:t>
            </w:r>
            <w:r w:rsidRPr="009877EF">
              <w:rPr>
                <w:rFonts w:ascii="Times New Roman" w:hAnsi="Times New Roman"/>
                <w:sz w:val="24"/>
                <w:szCs w:val="24"/>
                <w:lang w:val="lt-LT"/>
              </w:rPr>
              <w:t xml:space="preserve">. </w:t>
            </w:r>
            <w:r w:rsidR="00765AA7" w:rsidRPr="009877EF">
              <w:rPr>
                <w:rFonts w:ascii="Times New Roman" w:hAnsi="Times New Roman"/>
                <w:sz w:val="24"/>
                <w:szCs w:val="24"/>
                <w:lang w:val="lt-LT"/>
              </w:rPr>
              <w:t>Energetikos ministerijai priimant minėtus sprendimus, nurodomi tiek teisės aktai, kuriais remiantis priimamas sprendimas, tiek priimto sprendimo motyvai.</w:t>
            </w:r>
          </w:p>
          <w:p w:rsidR="00751C87" w:rsidRPr="009877EF" w:rsidRDefault="00751C87" w:rsidP="009877EF">
            <w:pPr>
              <w:spacing w:after="0" w:line="240" w:lineRule="auto"/>
              <w:jc w:val="both"/>
              <w:rPr>
                <w:rFonts w:ascii="Times New Roman" w:hAnsi="Times New Roman"/>
                <w:sz w:val="24"/>
                <w:szCs w:val="24"/>
                <w:lang w:val="lt-LT"/>
              </w:rPr>
            </w:pPr>
          </w:p>
        </w:tc>
        <w:tc>
          <w:tcPr>
            <w:tcW w:w="2552" w:type="dxa"/>
          </w:tcPr>
          <w:p w:rsidR="009877EF" w:rsidRPr="009877EF" w:rsidRDefault="009877EF" w:rsidP="009877EF">
            <w:pPr>
              <w:spacing w:after="0" w:line="240" w:lineRule="auto"/>
              <w:jc w:val="both"/>
              <w:rPr>
                <w:rFonts w:ascii="Times New Roman" w:hAnsi="Times New Roman"/>
                <w:b/>
                <w:color w:val="00B050"/>
                <w:sz w:val="24"/>
                <w:szCs w:val="24"/>
                <w:lang w:val="lt-LT"/>
              </w:rPr>
            </w:pPr>
            <w:r w:rsidRPr="009877EF">
              <w:rPr>
                <w:rFonts w:ascii="Times New Roman" w:hAnsi="Times New Roman"/>
                <w:b/>
                <w:color w:val="00B050"/>
                <w:sz w:val="24"/>
                <w:szCs w:val="24"/>
                <w:lang w:val="lt-LT"/>
              </w:rPr>
              <w:t>Įgyvendinta.</w:t>
            </w:r>
          </w:p>
          <w:p w:rsidR="00751C87" w:rsidRPr="009877EF" w:rsidRDefault="009877EF" w:rsidP="009877EF">
            <w:pPr>
              <w:spacing w:after="0" w:line="240" w:lineRule="auto"/>
              <w:jc w:val="both"/>
              <w:rPr>
                <w:rFonts w:ascii="Times New Roman" w:hAnsi="Times New Roman"/>
                <w:b/>
                <w:sz w:val="24"/>
                <w:szCs w:val="24"/>
                <w:lang w:val="lt-LT"/>
              </w:rPr>
            </w:pPr>
            <w:r w:rsidRPr="009877EF">
              <w:rPr>
                <w:rFonts w:ascii="Times New Roman" w:hAnsi="Times New Roman"/>
                <w:color w:val="00B050"/>
                <w:sz w:val="24"/>
                <w:szCs w:val="24"/>
                <w:lang w:val="lt-LT"/>
              </w:rPr>
              <w:t>Pastabų ir pasiūlymų nėra.</w:t>
            </w:r>
          </w:p>
        </w:tc>
      </w:tr>
      <w:tr w:rsidR="00751C87" w:rsidRPr="009877EF" w:rsidTr="009877EF">
        <w:tc>
          <w:tcPr>
            <w:tcW w:w="4644"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t xml:space="preserve">2.3. Atsižvelgdami į pastabas, išdėstytas korupcijos rizikos analizės 2 skyriaus </w:t>
            </w:r>
            <w:r w:rsidR="0010530B" w:rsidRPr="009877EF">
              <w:rPr>
                <w:rFonts w:ascii="Times New Roman" w:hAnsi="Times New Roman"/>
                <w:sz w:val="24"/>
                <w:szCs w:val="24"/>
                <w:lang w:val="lt-LT"/>
              </w:rPr>
              <w:t>3</w:t>
            </w:r>
            <w:r w:rsidRPr="009877EF">
              <w:rPr>
                <w:rFonts w:ascii="Times New Roman" w:hAnsi="Times New Roman"/>
                <w:sz w:val="24"/>
                <w:szCs w:val="24"/>
                <w:lang w:val="lt-LT"/>
              </w:rPr>
              <w:t xml:space="preserve"> punkte, </w:t>
            </w:r>
            <w:r w:rsidR="0010530B" w:rsidRPr="009877EF">
              <w:rPr>
                <w:rFonts w:ascii="Times New Roman" w:hAnsi="Times New Roman"/>
                <w:sz w:val="24"/>
                <w:szCs w:val="24"/>
                <w:lang w:val="lt-LT"/>
              </w:rPr>
              <w:t xml:space="preserve">siūlome </w:t>
            </w:r>
            <w:r w:rsidR="0010530B" w:rsidRPr="009877EF">
              <w:rPr>
                <w:rFonts w:ascii="Times New Roman" w:hAnsi="Times New Roman"/>
                <w:color w:val="000000"/>
                <w:sz w:val="24"/>
                <w:szCs w:val="24"/>
                <w:lang w:val="lt-LT"/>
              </w:rPr>
              <w:t xml:space="preserve">stiprinti Energetikos ministerijos vidaus kontrolės sistemos veiksmingumą, siekiant užtikrinti, kad </w:t>
            </w:r>
            <w:r w:rsidR="0010530B" w:rsidRPr="009877EF">
              <w:rPr>
                <w:rFonts w:ascii="Times New Roman" w:hAnsi="Times New Roman"/>
                <w:sz w:val="24"/>
                <w:szCs w:val="24"/>
                <w:lang w:val="lt-LT"/>
              </w:rPr>
              <w:t xml:space="preserve">VĮ LNPA, vykdydama patikėjimo teise valdomų </w:t>
            </w:r>
            <w:r w:rsidR="0010530B" w:rsidRPr="009877EF">
              <w:rPr>
                <w:rFonts w:ascii="Times New Roman" w:hAnsi="Times New Roman"/>
                <w:sz w:val="24"/>
                <w:szCs w:val="24"/>
                <w:lang w:val="lt-LT"/>
              </w:rPr>
              <w:lastRenderedPageBreak/>
              <w:t>naftos produktų atsargų keitimo sandorius besąlygiškai laikytųsi Lietuvos Respublikos viešųjų pirkimų įstatymo ir kitų, viešųjų pirkimų procedūras reglamentuojančių teisės aktų reikalavimų.</w:t>
            </w:r>
          </w:p>
        </w:tc>
        <w:tc>
          <w:tcPr>
            <w:tcW w:w="6379" w:type="dxa"/>
          </w:tcPr>
          <w:p w:rsidR="00751C87" w:rsidRPr="009877EF" w:rsidRDefault="00751C87" w:rsidP="009877EF">
            <w:pPr>
              <w:spacing w:after="0" w:line="240" w:lineRule="auto"/>
              <w:jc w:val="both"/>
              <w:rPr>
                <w:rFonts w:ascii="Times New Roman" w:hAnsi="Times New Roman"/>
                <w:sz w:val="24"/>
                <w:szCs w:val="24"/>
                <w:lang w:val="lt-LT"/>
              </w:rPr>
            </w:pPr>
            <w:r w:rsidRPr="009877EF">
              <w:rPr>
                <w:rFonts w:ascii="Times New Roman" w:hAnsi="Times New Roman"/>
                <w:b/>
                <w:sz w:val="24"/>
                <w:szCs w:val="24"/>
                <w:lang w:val="lt-LT" w:eastAsia="lt-LT"/>
              </w:rPr>
              <w:lastRenderedPageBreak/>
              <w:t xml:space="preserve">Į rekomendaciją </w:t>
            </w:r>
            <w:r w:rsidRPr="009877EF">
              <w:rPr>
                <w:rFonts w:ascii="Times New Roman" w:hAnsi="Times New Roman"/>
                <w:b/>
                <w:sz w:val="24"/>
                <w:szCs w:val="24"/>
                <w:lang w:val="lt-LT"/>
              </w:rPr>
              <w:t>atsižvelgta</w:t>
            </w:r>
            <w:r w:rsidRPr="009877EF">
              <w:rPr>
                <w:rFonts w:ascii="Times New Roman" w:hAnsi="Times New Roman"/>
                <w:sz w:val="24"/>
                <w:szCs w:val="24"/>
                <w:lang w:val="lt-LT"/>
              </w:rPr>
              <w:t xml:space="preserve">. </w:t>
            </w:r>
          </w:p>
          <w:p w:rsidR="00765AA7" w:rsidRPr="009877EF" w:rsidRDefault="0010530B"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t>EM, siekdama didinti viešųjų pirkimų tiek EM tiek Valstybinėje energetikos inspekcijoje prie EM, tiek apskritai energetikos srityje, organizavimo ir atlikimo viešumą, skaidrumą ir kontrolę, yra numačiusi tai savo Kovos su korupcija 2014-2016 metų programoje kaip atskirą uždavinį</w:t>
            </w:r>
            <w:r w:rsidR="00751C87" w:rsidRPr="009877EF">
              <w:rPr>
                <w:rFonts w:ascii="Times New Roman" w:hAnsi="Times New Roman"/>
                <w:sz w:val="24"/>
                <w:szCs w:val="24"/>
                <w:lang w:val="lt-LT"/>
              </w:rPr>
              <w:t>.</w:t>
            </w:r>
          </w:p>
          <w:p w:rsidR="00751C87" w:rsidRPr="009877EF" w:rsidRDefault="00765AA7" w:rsidP="009877EF">
            <w:pPr>
              <w:spacing w:after="0" w:line="240" w:lineRule="auto"/>
              <w:jc w:val="both"/>
              <w:rPr>
                <w:rFonts w:ascii="Times New Roman" w:hAnsi="Times New Roman"/>
                <w:sz w:val="24"/>
                <w:szCs w:val="24"/>
                <w:lang w:val="lt-LT"/>
              </w:rPr>
            </w:pPr>
            <w:r w:rsidRPr="009877EF">
              <w:rPr>
                <w:rFonts w:ascii="Times New Roman" w:hAnsi="Times New Roman"/>
                <w:sz w:val="24"/>
                <w:szCs w:val="24"/>
                <w:lang w:val="lt-LT"/>
              </w:rPr>
              <w:lastRenderedPageBreak/>
              <w:t>Energetikos ministerija užtikrina</w:t>
            </w:r>
            <w:r w:rsidR="007447EB" w:rsidRPr="009877EF">
              <w:rPr>
                <w:rFonts w:ascii="Times New Roman" w:hAnsi="Times New Roman"/>
                <w:sz w:val="24"/>
                <w:szCs w:val="24"/>
                <w:lang w:val="lt-LT"/>
              </w:rPr>
              <w:t>,</w:t>
            </w:r>
            <w:r w:rsidRPr="009877EF">
              <w:rPr>
                <w:rFonts w:ascii="Times New Roman" w:hAnsi="Times New Roman"/>
                <w:sz w:val="24"/>
                <w:szCs w:val="24"/>
                <w:lang w:val="lt-LT"/>
              </w:rPr>
              <w:t xml:space="preserve"> </w:t>
            </w:r>
            <w:r w:rsidRPr="009877EF">
              <w:rPr>
                <w:rFonts w:ascii="Times New Roman" w:hAnsi="Times New Roman"/>
                <w:color w:val="000000"/>
                <w:sz w:val="24"/>
                <w:szCs w:val="24"/>
                <w:lang w:val="lt-LT"/>
              </w:rPr>
              <w:t xml:space="preserve">kad </w:t>
            </w:r>
            <w:r w:rsidRPr="009877EF">
              <w:rPr>
                <w:rFonts w:ascii="Times New Roman" w:hAnsi="Times New Roman"/>
                <w:sz w:val="24"/>
                <w:szCs w:val="24"/>
                <w:lang w:val="lt-LT"/>
              </w:rPr>
              <w:t>VĮ LNPA, vykdydama patikėjimo teise valdomų naftos produktų atsargų keitimo sandorius besąlygiškai laikytųsi Lietuvos Respublikos viešųjų pirkimų įstatymo ir kitų, viešųjų pirkimų procedūras reglamentuojančių teisės aktų reikalavimų.</w:t>
            </w:r>
          </w:p>
        </w:tc>
        <w:tc>
          <w:tcPr>
            <w:tcW w:w="2552" w:type="dxa"/>
          </w:tcPr>
          <w:p w:rsidR="009877EF" w:rsidRPr="009877EF" w:rsidRDefault="009877EF" w:rsidP="009877EF">
            <w:pPr>
              <w:spacing w:after="0" w:line="240" w:lineRule="auto"/>
              <w:jc w:val="both"/>
              <w:rPr>
                <w:rFonts w:ascii="Times New Roman" w:hAnsi="Times New Roman"/>
                <w:b/>
                <w:color w:val="00B050"/>
                <w:sz w:val="24"/>
                <w:szCs w:val="24"/>
                <w:lang w:val="lt-LT"/>
              </w:rPr>
            </w:pPr>
            <w:r w:rsidRPr="009877EF">
              <w:rPr>
                <w:rFonts w:ascii="Times New Roman" w:hAnsi="Times New Roman"/>
                <w:b/>
                <w:color w:val="00B050"/>
                <w:sz w:val="24"/>
                <w:szCs w:val="24"/>
                <w:lang w:val="lt-LT"/>
              </w:rPr>
              <w:lastRenderedPageBreak/>
              <w:t>Įgyvendinta.</w:t>
            </w:r>
          </w:p>
          <w:p w:rsidR="00751C87" w:rsidRPr="009877EF" w:rsidRDefault="009877EF" w:rsidP="009877EF">
            <w:pPr>
              <w:spacing w:after="0" w:line="240" w:lineRule="auto"/>
              <w:jc w:val="both"/>
              <w:rPr>
                <w:rFonts w:ascii="Times New Roman" w:hAnsi="Times New Roman"/>
                <w:b/>
                <w:sz w:val="24"/>
                <w:szCs w:val="24"/>
                <w:lang w:val="lt-LT"/>
              </w:rPr>
            </w:pPr>
            <w:r w:rsidRPr="009877EF">
              <w:rPr>
                <w:rFonts w:ascii="Times New Roman" w:hAnsi="Times New Roman"/>
                <w:color w:val="00B050"/>
                <w:sz w:val="24"/>
                <w:szCs w:val="24"/>
                <w:lang w:val="lt-LT"/>
              </w:rPr>
              <w:t>Pastabų ir pasiūlymų nėra.</w:t>
            </w:r>
          </w:p>
        </w:tc>
      </w:tr>
    </w:tbl>
    <w:p w:rsidR="00751C87" w:rsidRPr="009877EF" w:rsidRDefault="00751C87" w:rsidP="009877EF">
      <w:pPr>
        <w:spacing w:after="0" w:line="240" w:lineRule="auto"/>
        <w:jc w:val="both"/>
        <w:rPr>
          <w:rFonts w:ascii="Times New Roman" w:hAnsi="Times New Roman"/>
          <w:sz w:val="24"/>
          <w:szCs w:val="24"/>
          <w:lang w:val="lt-LT"/>
        </w:rPr>
      </w:pPr>
    </w:p>
    <w:p w:rsidR="00921CEF" w:rsidRPr="009877EF" w:rsidRDefault="00921CEF" w:rsidP="009877EF">
      <w:pPr>
        <w:spacing w:after="0" w:line="240" w:lineRule="auto"/>
        <w:rPr>
          <w:rFonts w:ascii="Times New Roman" w:hAnsi="Times New Roman"/>
          <w:sz w:val="24"/>
          <w:szCs w:val="24"/>
          <w:lang w:val="lt-LT"/>
        </w:rPr>
      </w:pPr>
    </w:p>
    <w:sectPr w:rsidR="00921CEF" w:rsidRPr="009877EF" w:rsidSect="00945C66">
      <w:footerReference w:type="default" r:id="rId7"/>
      <w:pgSz w:w="15840" w:h="12240" w:orient="landscape"/>
      <w:pgMar w:top="1418" w:right="170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744" w:rsidRDefault="00024744">
      <w:pPr>
        <w:spacing w:after="0" w:line="240" w:lineRule="auto"/>
      </w:pPr>
      <w:r>
        <w:separator/>
      </w:r>
    </w:p>
  </w:endnote>
  <w:endnote w:type="continuationSeparator" w:id="0">
    <w:p w:rsidR="00024744" w:rsidRDefault="0002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E11" w:rsidRDefault="007F4E06">
    <w:pPr>
      <w:pStyle w:val="Footer"/>
      <w:jc w:val="right"/>
    </w:pPr>
    <w:r>
      <w:fldChar w:fldCharType="begin"/>
    </w:r>
    <w:r>
      <w:instrText xml:space="preserve"> PAGE   \* MERGEFORMAT </w:instrText>
    </w:r>
    <w:r>
      <w:fldChar w:fldCharType="separate"/>
    </w:r>
    <w:r w:rsidR="00292E22">
      <w:rPr>
        <w:noProof/>
      </w:rPr>
      <w:t>2</w:t>
    </w:r>
    <w:r>
      <w:fldChar w:fldCharType="end"/>
    </w:r>
  </w:p>
  <w:p w:rsidR="00562E11" w:rsidRDefault="00562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744" w:rsidRDefault="00024744">
      <w:pPr>
        <w:spacing w:after="0" w:line="240" w:lineRule="auto"/>
      </w:pPr>
      <w:r>
        <w:separator/>
      </w:r>
    </w:p>
  </w:footnote>
  <w:footnote w:type="continuationSeparator" w:id="0">
    <w:p w:rsidR="00024744" w:rsidRDefault="000247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87"/>
    <w:rsid w:val="00001B88"/>
    <w:rsid w:val="000024EA"/>
    <w:rsid w:val="00002D4C"/>
    <w:rsid w:val="0000751F"/>
    <w:rsid w:val="00010CFF"/>
    <w:rsid w:val="0001521C"/>
    <w:rsid w:val="000175C8"/>
    <w:rsid w:val="000207A9"/>
    <w:rsid w:val="00021616"/>
    <w:rsid w:val="00022AAD"/>
    <w:rsid w:val="00024744"/>
    <w:rsid w:val="00027C35"/>
    <w:rsid w:val="00032787"/>
    <w:rsid w:val="00033381"/>
    <w:rsid w:val="00035CB0"/>
    <w:rsid w:val="000472F5"/>
    <w:rsid w:val="00047FB0"/>
    <w:rsid w:val="00050B7B"/>
    <w:rsid w:val="00053506"/>
    <w:rsid w:val="000574CE"/>
    <w:rsid w:val="00057E63"/>
    <w:rsid w:val="000631F6"/>
    <w:rsid w:val="0006453E"/>
    <w:rsid w:val="00070FB8"/>
    <w:rsid w:val="000714DE"/>
    <w:rsid w:val="00071E06"/>
    <w:rsid w:val="000842AF"/>
    <w:rsid w:val="00092730"/>
    <w:rsid w:val="00095B25"/>
    <w:rsid w:val="00095B70"/>
    <w:rsid w:val="00095CF8"/>
    <w:rsid w:val="00095DEF"/>
    <w:rsid w:val="000A3545"/>
    <w:rsid w:val="000A712D"/>
    <w:rsid w:val="000B05AB"/>
    <w:rsid w:val="000B34EB"/>
    <w:rsid w:val="000C0D06"/>
    <w:rsid w:val="000C1C1F"/>
    <w:rsid w:val="000C2100"/>
    <w:rsid w:val="000C6F5F"/>
    <w:rsid w:val="000D1A32"/>
    <w:rsid w:val="000D72A5"/>
    <w:rsid w:val="000E137C"/>
    <w:rsid w:val="000F183A"/>
    <w:rsid w:val="000F3B00"/>
    <w:rsid w:val="000F6353"/>
    <w:rsid w:val="000F7D38"/>
    <w:rsid w:val="00102A6D"/>
    <w:rsid w:val="0010530B"/>
    <w:rsid w:val="00107838"/>
    <w:rsid w:val="00120B3A"/>
    <w:rsid w:val="00124829"/>
    <w:rsid w:val="0012612C"/>
    <w:rsid w:val="00133A18"/>
    <w:rsid w:val="00133C5C"/>
    <w:rsid w:val="00133D26"/>
    <w:rsid w:val="00154221"/>
    <w:rsid w:val="00156AE0"/>
    <w:rsid w:val="00162650"/>
    <w:rsid w:val="00163F12"/>
    <w:rsid w:val="0016455F"/>
    <w:rsid w:val="0016511F"/>
    <w:rsid w:val="0017419C"/>
    <w:rsid w:val="00174C9C"/>
    <w:rsid w:val="00177859"/>
    <w:rsid w:val="00177AC1"/>
    <w:rsid w:val="00193D43"/>
    <w:rsid w:val="001A0046"/>
    <w:rsid w:val="001A1D4E"/>
    <w:rsid w:val="001A4524"/>
    <w:rsid w:val="001A6945"/>
    <w:rsid w:val="001C530F"/>
    <w:rsid w:val="001D22D4"/>
    <w:rsid w:val="001D580B"/>
    <w:rsid w:val="001D7C49"/>
    <w:rsid w:val="001E249C"/>
    <w:rsid w:val="001E2D7A"/>
    <w:rsid w:val="001E7E99"/>
    <w:rsid w:val="001F022C"/>
    <w:rsid w:val="001F2005"/>
    <w:rsid w:val="0020135B"/>
    <w:rsid w:val="002025E2"/>
    <w:rsid w:val="002108A6"/>
    <w:rsid w:val="00210BB5"/>
    <w:rsid w:val="00215596"/>
    <w:rsid w:val="00226A06"/>
    <w:rsid w:val="00227F13"/>
    <w:rsid w:val="0023762D"/>
    <w:rsid w:val="00240860"/>
    <w:rsid w:val="002478A3"/>
    <w:rsid w:val="00252FF0"/>
    <w:rsid w:val="00267B6C"/>
    <w:rsid w:val="00272949"/>
    <w:rsid w:val="00273B54"/>
    <w:rsid w:val="002848B2"/>
    <w:rsid w:val="0029001B"/>
    <w:rsid w:val="00292E22"/>
    <w:rsid w:val="002A44E1"/>
    <w:rsid w:val="002A61DC"/>
    <w:rsid w:val="002B3103"/>
    <w:rsid w:val="002C43DE"/>
    <w:rsid w:val="002D7736"/>
    <w:rsid w:val="002F7AA3"/>
    <w:rsid w:val="002F7CAE"/>
    <w:rsid w:val="003124CD"/>
    <w:rsid w:val="0032299A"/>
    <w:rsid w:val="00322EB1"/>
    <w:rsid w:val="003310CA"/>
    <w:rsid w:val="0033347E"/>
    <w:rsid w:val="00336CF0"/>
    <w:rsid w:val="003371F6"/>
    <w:rsid w:val="00337D51"/>
    <w:rsid w:val="0035189A"/>
    <w:rsid w:val="00353F4A"/>
    <w:rsid w:val="0035418C"/>
    <w:rsid w:val="003565A2"/>
    <w:rsid w:val="0037252C"/>
    <w:rsid w:val="00376554"/>
    <w:rsid w:val="00376C7E"/>
    <w:rsid w:val="0038140E"/>
    <w:rsid w:val="00381A4D"/>
    <w:rsid w:val="003829D0"/>
    <w:rsid w:val="00383086"/>
    <w:rsid w:val="00390BC1"/>
    <w:rsid w:val="00391FB8"/>
    <w:rsid w:val="00395D08"/>
    <w:rsid w:val="003A0865"/>
    <w:rsid w:val="003A1D8F"/>
    <w:rsid w:val="003B5B72"/>
    <w:rsid w:val="003B5F08"/>
    <w:rsid w:val="003B6CE4"/>
    <w:rsid w:val="003B6D74"/>
    <w:rsid w:val="003C0BB9"/>
    <w:rsid w:val="003C2B70"/>
    <w:rsid w:val="003C40AC"/>
    <w:rsid w:val="003D373C"/>
    <w:rsid w:val="003D7C6A"/>
    <w:rsid w:val="003E1DD3"/>
    <w:rsid w:val="003F355C"/>
    <w:rsid w:val="003F4E37"/>
    <w:rsid w:val="00407FE7"/>
    <w:rsid w:val="0041011C"/>
    <w:rsid w:val="004105F1"/>
    <w:rsid w:val="00410B83"/>
    <w:rsid w:val="004130DD"/>
    <w:rsid w:val="004308F7"/>
    <w:rsid w:val="004313EB"/>
    <w:rsid w:val="004325E1"/>
    <w:rsid w:val="00433B56"/>
    <w:rsid w:val="00436119"/>
    <w:rsid w:val="0043788D"/>
    <w:rsid w:val="004409F2"/>
    <w:rsid w:val="0045000E"/>
    <w:rsid w:val="00457104"/>
    <w:rsid w:val="004577DE"/>
    <w:rsid w:val="00457967"/>
    <w:rsid w:val="00461110"/>
    <w:rsid w:val="00462821"/>
    <w:rsid w:val="00463A9E"/>
    <w:rsid w:val="00464440"/>
    <w:rsid w:val="00477516"/>
    <w:rsid w:val="00481CBC"/>
    <w:rsid w:val="00484E93"/>
    <w:rsid w:val="00484F83"/>
    <w:rsid w:val="004A0ED8"/>
    <w:rsid w:val="004A35FF"/>
    <w:rsid w:val="004B7674"/>
    <w:rsid w:val="004B7713"/>
    <w:rsid w:val="004C22D0"/>
    <w:rsid w:val="004C2BD5"/>
    <w:rsid w:val="004C6C01"/>
    <w:rsid w:val="004C78DB"/>
    <w:rsid w:val="004D0B70"/>
    <w:rsid w:val="004D1051"/>
    <w:rsid w:val="004D1EFC"/>
    <w:rsid w:val="004D6D51"/>
    <w:rsid w:val="004E0A4F"/>
    <w:rsid w:val="004E0E24"/>
    <w:rsid w:val="004E6735"/>
    <w:rsid w:val="004F15FE"/>
    <w:rsid w:val="004F2F05"/>
    <w:rsid w:val="004F747C"/>
    <w:rsid w:val="00500285"/>
    <w:rsid w:val="005053CE"/>
    <w:rsid w:val="00516681"/>
    <w:rsid w:val="00516F9B"/>
    <w:rsid w:val="005256C8"/>
    <w:rsid w:val="00532AF0"/>
    <w:rsid w:val="00532DC9"/>
    <w:rsid w:val="00536CCB"/>
    <w:rsid w:val="0054207B"/>
    <w:rsid w:val="00551843"/>
    <w:rsid w:val="005525AC"/>
    <w:rsid w:val="0055442E"/>
    <w:rsid w:val="00556913"/>
    <w:rsid w:val="00561100"/>
    <w:rsid w:val="00562E11"/>
    <w:rsid w:val="005641E5"/>
    <w:rsid w:val="00576DED"/>
    <w:rsid w:val="00582F5C"/>
    <w:rsid w:val="00586320"/>
    <w:rsid w:val="00587029"/>
    <w:rsid w:val="0059148F"/>
    <w:rsid w:val="005922FA"/>
    <w:rsid w:val="00594C8C"/>
    <w:rsid w:val="00595C08"/>
    <w:rsid w:val="005977CA"/>
    <w:rsid w:val="005A037A"/>
    <w:rsid w:val="005A1094"/>
    <w:rsid w:val="005A34F5"/>
    <w:rsid w:val="005A3671"/>
    <w:rsid w:val="005B07A6"/>
    <w:rsid w:val="005B0E5E"/>
    <w:rsid w:val="005B7DAF"/>
    <w:rsid w:val="005C033D"/>
    <w:rsid w:val="005C0BBB"/>
    <w:rsid w:val="005C4A45"/>
    <w:rsid w:val="005C5459"/>
    <w:rsid w:val="005D2E97"/>
    <w:rsid w:val="005D349D"/>
    <w:rsid w:val="005D4C37"/>
    <w:rsid w:val="005D5D01"/>
    <w:rsid w:val="005E3B2E"/>
    <w:rsid w:val="005E3D63"/>
    <w:rsid w:val="005E59E6"/>
    <w:rsid w:val="005E6B5B"/>
    <w:rsid w:val="005F6257"/>
    <w:rsid w:val="005F7DAE"/>
    <w:rsid w:val="00613A55"/>
    <w:rsid w:val="00622E06"/>
    <w:rsid w:val="006245FE"/>
    <w:rsid w:val="00633511"/>
    <w:rsid w:val="00633892"/>
    <w:rsid w:val="00634006"/>
    <w:rsid w:val="0063544A"/>
    <w:rsid w:val="00643377"/>
    <w:rsid w:val="00647536"/>
    <w:rsid w:val="00662008"/>
    <w:rsid w:val="00664D7C"/>
    <w:rsid w:val="00667103"/>
    <w:rsid w:val="00672034"/>
    <w:rsid w:val="00672D70"/>
    <w:rsid w:val="00682F05"/>
    <w:rsid w:val="0068740C"/>
    <w:rsid w:val="00692376"/>
    <w:rsid w:val="0069300E"/>
    <w:rsid w:val="006A3853"/>
    <w:rsid w:val="006A41D4"/>
    <w:rsid w:val="006A7A89"/>
    <w:rsid w:val="006B082E"/>
    <w:rsid w:val="006B13F6"/>
    <w:rsid w:val="006B1E45"/>
    <w:rsid w:val="006C18E4"/>
    <w:rsid w:val="006C6EF4"/>
    <w:rsid w:val="006E3B3F"/>
    <w:rsid w:val="006F4EA5"/>
    <w:rsid w:val="006F57B9"/>
    <w:rsid w:val="007024C3"/>
    <w:rsid w:val="00702AE2"/>
    <w:rsid w:val="00704C05"/>
    <w:rsid w:val="00707CD3"/>
    <w:rsid w:val="007110E6"/>
    <w:rsid w:val="00714531"/>
    <w:rsid w:val="0071578A"/>
    <w:rsid w:val="00725F0C"/>
    <w:rsid w:val="00730302"/>
    <w:rsid w:val="00731057"/>
    <w:rsid w:val="00742425"/>
    <w:rsid w:val="007447EB"/>
    <w:rsid w:val="00751C87"/>
    <w:rsid w:val="007525F0"/>
    <w:rsid w:val="007549A8"/>
    <w:rsid w:val="007564C9"/>
    <w:rsid w:val="007647D7"/>
    <w:rsid w:val="00765AA7"/>
    <w:rsid w:val="0076656B"/>
    <w:rsid w:val="007703A2"/>
    <w:rsid w:val="007724B9"/>
    <w:rsid w:val="00783ED7"/>
    <w:rsid w:val="007865B7"/>
    <w:rsid w:val="007965FA"/>
    <w:rsid w:val="007A68E5"/>
    <w:rsid w:val="007B10C1"/>
    <w:rsid w:val="007B6E05"/>
    <w:rsid w:val="007C3B9C"/>
    <w:rsid w:val="007D1FBF"/>
    <w:rsid w:val="007D314C"/>
    <w:rsid w:val="007D6446"/>
    <w:rsid w:val="007F2854"/>
    <w:rsid w:val="007F4C4C"/>
    <w:rsid w:val="007F4E06"/>
    <w:rsid w:val="007F575C"/>
    <w:rsid w:val="00804B7B"/>
    <w:rsid w:val="008052D3"/>
    <w:rsid w:val="00821073"/>
    <w:rsid w:val="00821CCC"/>
    <w:rsid w:val="00822016"/>
    <w:rsid w:val="0083430D"/>
    <w:rsid w:val="0083741C"/>
    <w:rsid w:val="00837A4D"/>
    <w:rsid w:val="00856B9D"/>
    <w:rsid w:val="0085744E"/>
    <w:rsid w:val="0086226F"/>
    <w:rsid w:val="00870F97"/>
    <w:rsid w:val="0087323E"/>
    <w:rsid w:val="0088002F"/>
    <w:rsid w:val="00884DC5"/>
    <w:rsid w:val="0089257C"/>
    <w:rsid w:val="0089520D"/>
    <w:rsid w:val="008A2253"/>
    <w:rsid w:val="008C1357"/>
    <w:rsid w:val="008C215B"/>
    <w:rsid w:val="008C32C2"/>
    <w:rsid w:val="008C6C0C"/>
    <w:rsid w:val="008D63E5"/>
    <w:rsid w:val="008D6BB1"/>
    <w:rsid w:val="008E48B9"/>
    <w:rsid w:val="008F3C6B"/>
    <w:rsid w:val="00900E3F"/>
    <w:rsid w:val="00902294"/>
    <w:rsid w:val="00904DB7"/>
    <w:rsid w:val="00911C04"/>
    <w:rsid w:val="00916386"/>
    <w:rsid w:val="00921B9C"/>
    <w:rsid w:val="00921CEF"/>
    <w:rsid w:val="009242DF"/>
    <w:rsid w:val="009252A0"/>
    <w:rsid w:val="0093571E"/>
    <w:rsid w:val="00945C66"/>
    <w:rsid w:val="00945CBA"/>
    <w:rsid w:val="0094737C"/>
    <w:rsid w:val="009505B9"/>
    <w:rsid w:val="00950905"/>
    <w:rsid w:val="009565C4"/>
    <w:rsid w:val="00966C41"/>
    <w:rsid w:val="00971199"/>
    <w:rsid w:val="00972070"/>
    <w:rsid w:val="00977FE9"/>
    <w:rsid w:val="009844FB"/>
    <w:rsid w:val="00985F75"/>
    <w:rsid w:val="00986CE8"/>
    <w:rsid w:val="009877EF"/>
    <w:rsid w:val="00987C7E"/>
    <w:rsid w:val="00991909"/>
    <w:rsid w:val="0099490B"/>
    <w:rsid w:val="009953C4"/>
    <w:rsid w:val="00996E32"/>
    <w:rsid w:val="009A335C"/>
    <w:rsid w:val="009A3996"/>
    <w:rsid w:val="009A50B0"/>
    <w:rsid w:val="009A5778"/>
    <w:rsid w:val="009A5CA2"/>
    <w:rsid w:val="009A6FB9"/>
    <w:rsid w:val="009C297E"/>
    <w:rsid w:val="009C4C39"/>
    <w:rsid w:val="009D14A4"/>
    <w:rsid w:val="009D248F"/>
    <w:rsid w:val="009E1379"/>
    <w:rsid w:val="009E24BE"/>
    <w:rsid w:val="009E5297"/>
    <w:rsid w:val="00A00EBD"/>
    <w:rsid w:val="00A02BBC"/>
    <w:rsid w:val="00A042C2"/>
    <w:rsid w:val="00A062CA"/>
    <w:rsid w:val="00A06F59"/>
    <w:rsid w:val="00A119F2"/>
    <w:rsid w:val="00A11C9B"/>
    <w:rsid w:val="00A13C8F"/>
    <w:rsid w:val="00A154D9"/>
    <w:rsid w:val="00A16C41"/>
    <w:rsid w:val="00A23AB8"/>
    <w:rsid w:val="00A24A32"/>
    <w:rsid w:val="00A278E9"/>
    <w:rsid w:val="00A30D55"/>
    <w:rsid w:val="00A31889"/>
    <w:rsid w:val="00A34910"/>
    <w:rsid w:val="00A34912"/>
    <w:rsid w:val="00A35753"/>
    <w:rsid w:val="00A35DB5"/>
    <w:rsid w:val="00A415A6"/>
    <w:rsid w:val="00A42A2E"/>
    <w:rsid w:val="00A707E4"/>
    <w:rsid w:val="00A70EE3"/>
    <w:rsid w:val="00A74185"/>
    <w:rsid w:val="00A77134"/>
    <w:rsid w:val="00A8399A"/>
    <w:rsid w:val="00A85855"/>
    <w:rsid w:val="00A86D79"/>
    <w:rsid w:val="00A87E68"/>
    <w:rsid w:val="00A92F2D"/>
    <w:rsid w:val="00A93194"/>
    <w:rsid w:val="00A9551F"/>
    <w:rsid w:val="00AA3341"/>
    <w:rsid w:val="00AB014D"/>
    <w:rsid w:val="00AB0A3D"/>
    <w:rsid w:val="00AB3A68"/>
    <w:rsid w:val="00AB72D6"/>
    <w:rsid w:val="00AC439B"/>
    <w:rsid w:val="00AC4A55"/>
    <w:rsid w:val="00AD691B"/>
    <w:rsid w:val="00AE34FF"/>
    <w:rsid w:val="00AE4875"/>
    <w:rsid w:val="00AE5E0B"/>
    <w:rsid w:val="00AE5E5F"/>
    <w:rsid w:val="00AE6437"/>
    <w:rsid w:val="00AE7864"/>
    <w:rsid w:val="00B16242"/>
    <w:rsid w:val="00B50CEC"/>
    <w:rsid w:val="00B5445A"/>
    <w:rsid w:val="00B57034"/>
    <w:rsid w:val="00B61C3A"/>
    <w:rsid w:val="00B6352B"/>
    <w:rsid w:val="00B644EC"/>
    <w:rsid w:val="00B6654B"/>
    <w:rsid w:val="00B66C76"/>
    <w:rsid w:val="00B73E9E"/>
    <w:rsid w:val="00B8246F"/>
    <w:rsid w:val="00B82BF4"/>
    <w:rsid w:val="00B90BDE"/>
    <w:rsid w:val="00B92672"/>
    <w:rsid w:val="00B94C99"/>
    <w:rsid w:val="00B96911"/>
    <w:rsid w:val="00BA42B3"/>
    <w:rsid w:val="00BA55C9"/>
    <w:rsid w:val="00BB1091"/>
    <w:rsid w:val="00BB10DA"/>
    <w:rsid w:val="00BC34CF"/>
    <w:rsid w:val="00BC5C4F"/>
    <w:rsid w:val="00BE1B82"/>
    <w:rsid w:val="00BE43E6"/>
    <w:rsid w:val="00BE71CF"/>
    <w:rsid w:val="00C0094F"/>
    <w:rsid w:val="00C06D65"/>
    <w:rsid w:val="00C16893"/>
    <w:rsid w:val="00C1705B"/>
    <w:rsid w:val="00C17EE0"/>
    <w:rsid w:val="00C223EE"/>
    <w:rsid w:val="00C2565E"/>
    <w:rsid w:val="00C263E4"/>
    <w:rsid w:val="00C31600"/>
    <w:rsid w:val="00C3473A"/>
    <w:rsid w:val="00C34D04"/>
    <w:rsid w:val="00C4359E"/>
    <w:rsid w:val="00C5078C"/>
    <w:rsid w:val="00C53EF0"/>
    <w:rsid w:val="00C54303"/>
    <w:rsid w:val="00C61147"/>
    <w:rsid w:val="00C61194"/>
    <w:rsid w:val="00C613BC"/>
    <w:rsid w:val="00C62137"/>
    <w:rsid w:val="00C6396D"/>
    <w:rsid w:val="00C711C8"/>
    <w:rsid w:val="00C734E4"/>
    <w:rsid w:val="00C74D3C"/>
    <w:rsid w:val="00C76175"/>
    <w:rsid w:val="00C769B8"/>
    <w:rsid w:val="00C77AFA"/>
    <w:rsid w:val="00C8234A"/>
    <w:rsid w:val="00C85D47"/>
    <w:rsid w:val="00C862BA"/>
    <w:rsid w:val="00C928BA"/>
    <w:rsid w:val="00C9569C"/>
    <w:rsid w:val="00CA2E1A"/>
    <w:rsid w:val="00CA544B"/>
    <w:rsid w:val="00CA5F6C"/>
    <w:rsid w:val="00CB4C93"/>
    <w:rsid w:val="00CB6096"/>
    <w:rsid w:val="00CC06A5"/>
    <w:rsid w:val="00CC0C56"/>
    <w:rsid w:val="00CC120E"/>
    <w:rsid w:val="00CC4F00"/>
    <w:rsid w:val="00CD16C8"/>
    <w:rsid w:val="00CD4197"/>
    <w:rsid w:val="00CE289E"/>
    <w:rsid w:val="00CE2AF4"/>
    <w:rsid w:val="00CE3C1C"/>
    <w:rsid w:val="00CE7E4C"/>
    <w:rsid w:val="00CF0A86"/>
    <w:rsid w:val="00CF463F"/>
    <w:rsid w:val="00D03DDB"/>
    <w:rsid w:val="00D045E0"/>
    <w:rsid w:val="00D064E9"/>
    <w:rsid w:val="00D138A8"/>
    <w:rsid w:val="00D14664"/>
    <w:rsid w:val="00D22096"/>
    <w:rsid w:val="00D2225A"/>
    <w:rsid w:val="00D31969"/>
    <w:rsid w:val="00D356E7"/>
    <w:rsid w:val="00D42BEC"/>
    <w:rsid w:val="00D45D85"/>
    <w:rsid w:val="00D5729F"/>
    <w:rsid w:val="00D60151"/>
    <w:rsid w:val="00D70A01"/>
    <w:rsid w:val="00D71014"/>
    <w:rsid w:val="00D72359"/>
    <w:rsid w:val="00D74AAF"/>
    <w:rsid w:val="00D8315F"/>
    <w:rsid w:val="00D845B4"/>
    <w:rsid w:val="00D90246"/>
    <w:rsid w:val="00D9322D"/>
    <w:rsid w:val="00DA139A"/>
    <w:rsid w:val="00DB4177"/>
    <w:rsid w:val="00DB6CAA"/>
    <w:rsid w:val="00DB6F4F"/>
    <w:rsid w:val="00DC165E"/>
    <w:rsid w:val="00DC4CFE"/>
    <w:rsid w:val="00DD1999"/>
    <w:rsid w:val="00DE1547"/>
    <w:rsid w:val="00DF1AF4"/>
    <w:rsid w:val="00E0225A"/>
    <w:rsid w:val="00E0665E"/>
    <w:rsid w:val="00E10BDA"/>
    <w:rsid w:val="00E13F61"/>
    <w:rsid w:val="00E26501"/>
    <w:rsid w:val="00E3374A"/>
    <w:rsid w:val="00E3707E"/>
    <w:rsid w:val="00E42143"/>
    <w:rsid w:val="00E515C9"/>
    <w:rsid w:val="00E54258"/>
    <w:rsid w:val="00E561BC"/>
    <w:rsid w:val="00E602F5"/>
    <w:rsid w:val="00E70D65"/>
    <w:rsid w:val="00E716A9"/>
    <w:rsid w:val="00E85320"/>
    <w:rsid w:val="00E87973"/>
    <w:rsid w:val="00E91266"/>
    <w:rsid w:val="00EA1D5D"/>
    <w:rsid w:val="00EA4A29"/>
    <w:rsid w:val="00EC73E3"/>
    <w:rsid w:val="00ED753B"/>
    <w:rsid w:val="00EE1C8F"/>
    <w:rsid w:val="00EE56B6"/>
    <w:rsid w:val="00EE7083"/>
    <w:rsid w:val="00EF1953"/>
    <w:rsid w:val="00F02A2A"/>
    <w:rsid w:val="00F05E93"/>
    <w:rsid w:val="00F079C2"/>
    <w:rsid w:val="00F12EE9"/>
    <w:rsid w:val="00F14B9A"/>
    <w:rsid w:val="00F27A5B"/>
    <w:rsid w:val="00F30408"/>
    <w:rsid w:val="00F33052"/>
    <w:rsid w:val="00F3656E"/>
    <w:rsid w:val="00F36EE2"/>
    <w:rsid w:val="00F37A98"/>
    <w:rsid w:val="00F41711"/>
    <w:rsid w:val="00F44D2A"/>
    <w:rsid w:val="00F51CFF"/>
    <w:rsid w:val="00F604E3"/>
    <w:rsid w:val="00F63D79"/>
    <w:rsid w:val="00F669C4"/>
    <w:rsid w:val="00F71FF5"/>
    <w:rsid w:val="00F754F5"/>
    <w:rsid w:val="00F762C7"/>
    <w:rsid w:val="00F80365"/>
    <w:rsid w:val="00F849C6"/>
    <w:rsid w:val="00F95259"/>
    <w:rsid w:val="00FA356C"/>
    <w:rsid w:val="00FA4DBB"/>
    <w:rsid w:val="00FB0DC3"/>
    <w:rsid w:val="00FB5250"/>
    <w:rsid w:val="00FD76B8"/>
    <w:rsid w:val="00FD7814"/>
    <w:rsid w:val="00FE22F2"/>
    <w:rsid w:val="00FE76C0"/>
    <w:rsid w:val="00FF0065"/>
    <w:rsid w:val="00FF607D"/>
    <w:rsid w:val="00FF68FE"/>
    <w:rsid w:val="00FF6D55"/>
    <w:rsid w:val="00FF74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D5997-57CB-4D1F-94CC-F5B7A77F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C87"/>
    <w:pPr>
      <w:spacing w:after="200" w:line="276" w:lineRule="auto"/>
    </w:pPr>
    <w:rPr>
      <w:rFonts w:ascii="Calibri" w:eastAsia="Times New Roman"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C87"/>
    <w:rPr>
      <w:rFonts w:ascii="Calibri" w:eastAsia="Times New Roman" w:hAnsi="Calibri"/>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751C87"/>
    <w:pPr>
      <w:tabs>
        <w:tab w:val="center" w:pos="4986"/>
        <w:tab w:val="right" w:pos="9972"/>
      </w:tabs>
      <w:spacing w:after="0" w:line="240" w:lineRule="auto"/>
    </w:pPr>
  </w:style>
  <w:style w:type="character" w:customStyle="1" w:styleId="FooterChar">
    <w:name w:val="Footer Char"/>
    <w:link w:val="Footer"/>
    <w:uiPriority w:val="99"/>
    <w:rsid w:val="00751C87"/>
    <w:rPr>
      <w:rFonts w:ascii="Calibri" w:eastAsia="Times New Roman" w:hAnsi="Calibri"/>
      <w:sz w:val="22"/>
      <w:lang w:val="en-US"/>
    </w:rPr>
  </w:style>
  <w:style w:type="paragraph" w:styleId="ListParagraph">
    <w:name w:val="List Paragraph"/>
    <w:basedOn w:val="Normal"/>
    <w:uiPriority w:val="34"/>
    <w:qFormat/>
    <w:rsid w:val="00582F5C"/>
    <w:pPr>
      <w:ind w:left="720"/>
      <w:contextualSpacing/>
    </w:pPr>
  </w:style>
  <w:style w:type="paragraph" w:styleId="BalloonText">
    <w:name w:val="Balloon Text"/>
    <w:basedOn w:val="Normal"/>
    <w:link w:val="BalloonTextChar"/>
    <w:uiPriority w:val="99"/>
    <w:semiHidden/>
    <w:unhideWhenUsed/>
    <w:rsid w:val="003124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124CD"/>
    <w:rPr>
      <w:rFonts w:ascii="Tahoma" w:eastAsia="Times New Roman" w:hAnsi="Tahoma" w:cs="Tahoma"/>
      <w:sz w:val="16"/>
      <w:szCs w:val="16"/>
      <w:lang w:val="en-US"/>
    </w:rPr>
  </w:style>
  <w:style w:type="character" w:styleId="CommentReference">
    <w:name w:val="annotation reference"/>
    <w:uiPriority w:val="99"/>
    <w:semiHidden/>
    <w:unhideWhenUsed/>
    <w:rsid w:val="003124CD"/>
    <w:rPr>
      <w:sz w:val="16"/>
      <w:szCs w:val="16"/>
    </w:rPr>
  </w:style>
  <w:style w:type="paragraph" w:styleId="CommentText">
    <w:name w:val="annotation text"/>
    <w:basedOn w:val="Normal"/>
    <w:link w:val="CommentTextChar"/>
    <w:uiPriority w:val="99"/>
    <w:semiHidden/>
    <w:unhideWhenUsed/>
    <w:rsid w:val="003124CD"/>
    <w:pPr>
      <w:spacing w:line="240" w:lineRule="auto"/>
    </w:pPr>
    <w:rPr>
      <w:sz w:val="20"/>
      <w:szCs w:val="20"/>
    </w:rPr>
  </w:style>
  <w:style w:type="character" w:customStyle="1" w:styleId="CommentTextChar">
    <w:name w:val="Comment Text Char"/>
    <w:link w:val="CommentText"/>
    <w:uiPriority w:val="99"/>
    <w:semiHidden/>
    <w:rsid w:val="003124CD"/>
    <w:rPr>
      <w:rFonts w:ascii="Calibri" w:eastAsia="Times New Roman" w:hAnsi="Calibri"/>
      <w:sz w:val="20"/>
      <w:szCs w:val="20"/>
      <w:lang w:val="en-US"/>
    </w:rPr>
  </w:style>
  <w:style w:type="paragraph" w:styleId="CommentSubject">
    <w:name w:val="annotation subject"/>
    <w:basedOn w:val="CommentText"/>
    <w:next w:val="CommentText"/>
    <w:link w:val="CommentSubjectChar"/>
    <w:uiPriority w:val="99"/>
    <w:semiHidden/>
    <w:unhideWhenUsed/>
    <w:rsid w:val="003124CD"/>
    <w:rPr>
      <w:b/>
      <w:bCs/>
    </w:rPr>
  </w:style>
  <w:style w:type="character" w:customStyle="1" w:styleId="CommentSubjectChar">
    <w:name w:val="Comment Subject Char"/>
    <w:link w:val="CommentSubject"/>
    <w:uiPriority w:val="99"/>
    <w:semiHidden/>
    <w:rsid w:val="003124CD"/>
    <w:rPr>
      <w:rFonts w:ascii="Calibri" w:eastAsia="Times New Roman" w:hAnsi="Calibri"/>
      <w:b/>
      <w:bCs/>
      <w:sz w:val="20"/>
      <w:szCs w:val="20"/>
      <w:lang w:val="en-US"/>
    </w:rPr>
  </w:style>
  <w:style w:type="character" w:customStyle="1" w:styleId="dlxnowrap">
    <w:name w:val="dlxnowrap"/>
    <w:basedOn w:val="DefaultParagraphFont"/>
    <w:rsid w:val="003B6D74"/>
  </w:style>
  <w:style w:type="paragraph" w:styleId="FootnoteText">
    <w:name w:val="footnote text"/>
    <w:basedOn w:val="Normal"/>
    <w:link w:val="FootnoteTextChar"/>
    <w:rsid w:val="003B6D74"/>
    <w:pPr>
      <w:spacing w:after="0" w:line="240" w:lineRule="auto"/>
    </w:pPr>
    <w:rPr>
      <w:rFonts w:ascii="Arial" w:eastAsia="Calibri" w:hAnsi="Arial"/>
      <w:sz w:val="20"/>
      <w:szCs w:val="20"/>
      <w:lang w:val="lt-LT" w:eastAsia="lt-LT"/>
    </w:rPr>
  </w:style>
  <w:style w:type="character" w:customStyle="1" w:styleId="FootnoteTextChar">
    <w:name w:val="Footnote Text Char"/>
    <w:link w:val="FootnoteText"/>
    <w:rsid w:val="003B6D74"/>
    <w:rPr>
      <w:rFonts w:ascii="Arial" w:eastAsia="Calibri" w:hAnsi="Arial" w:cs="Times New Roman"/>
      <w:sz w:val="20"/>
      <w:szCs w:val="20"/>
      <w:lang w:eastAsia="lt-LT"/>
    </w:rPr>
  </w:style>
  <w:style w:type="character" w:customStyle="1" w:styleId="Bodytext">
    <w:name w:val="Body text_"/>
    <w:link w:val="Pagrindinistekstas2"/>
    <w:locked/>
    <w:rsid w:val="009877EF"/>
    <w:rPr>
      <w:sz w:val="22"/>
      <w:szCs w:val="22"/>
      <w:shd w:val="clear" w:color="auto" w:fill="FFFFFF"/>
    </w:rPr>
  </w:style>
  <w:style w:type="paragraph" w:customStyle="1" w:styleId="Pagrindinistekstas2">
    <w:name w:val="Pagrindinis tekstas2"/>
    <w:basedOn w:val="Normal"/>
    <w:link w:val="Bodytext"/>
    <w:rsid w:val="009877EF"/>
    <w:pPr>
      <w:widowControl w:val="0"/>
      <w:shd w:val="clear" w:color="auto" w:fill="FFFFFF"/>
      <w:spacing w:after="120" w:line="0" w:lineRule="atLeast"/>
      <w:ind w:hanging="340"/>
      <w:jc w:val="center"/>
    </w:pPr>
    <w:rPr>
      <w:rFonts w:ascii="Times New Roman" w:eastAsia="Calibri" w:hAnsi="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ED8C-E700-44E1-B6E6-B7538C70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5650</Words>
  <Characters>3221</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cp:lastModifiedBy>Ramune</cp:lastModifiedBy>
  <cp:revision>2</cp:revision>
  <dcterms:created xsi:type="dcterms:W3CDTF">2020-02-28T14:00:00Z</dcterms:created>
  <dcterms:modified xsi:type="dcterms:W3CDTF">2020-02-28T14:00:00Z</dcterms:modified>
</cp:coreProperties>
</file>