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5B" w:rsidRPr="00650FFC" w:rsidRDefault="003B7C5B" w:rsidP="00AD5F1E">
      <w:pPr>
        <w:jc w:val="center"/>
        <w:rPr>
          <w:b/>
          <w:szCs w:val="24"/>
        </w:rPr>
      </w:pPr>
      <w:bookmarkStart w:id="0" w:name="_GoBack"/>
      <w:bookmarkEnd w:id="0"/>
    </w:p>
    <w:p w:rsidR="00BE33A2" w:rsidRPr="00650FFC" w:rsidRDefault="00BE33A2" w:rsidP="00AD5F1E">
      <w:pPr>
        <w:jc w:val="center"/>
        <w:rPr>
          <w:b/>
          <w:szCs w:val="24"/>
        </w:rPr>
      </w:pPr>
    </w:p>
    <w:p w:rsidR="00921CEF" w:rsidRPr="00650FFC" w:rsidRDefault="00196221" w:rsidP="00AD5F1E">
      <w:pPr>
        <w:jc w:val="center"/>
        <w:rPr>
          <w:b/>
          <w:szCs w:val="24"/>
        </w:rPr>
      </w:pPr>
      <w:r w:rsidRPr="00650FFC">
        <w:rPr>
          <w:b/>
          <w:szCs w:val="24"/>
        </w:rPr>
        <w:t>KORUPCIJOS RIZ</w:t>
      </w:r>
      <w:r w:rsidR="00E05C11" w:rsidRPr="00650FFC">
        <w:rPr>
          <w:b/>
          <w:szCs w:val="24"/>
        </w:rPr>
        <w:t>I</w:t>
      </w:r>
      <w:r w:rsidRPr="00650FFC">
        <w:rPr>
          <w:b/>
          <w:szCs w:val="24"/>
        </w:rPr>
        <w:t xml:space="preserve">KOS ANALIZĖS IŠVADOJE PATEIKTŲ </w:t>
      </w:r>
      <w:r w:rsidR="00E05C11" w:rsidRPr="00650FFC">
        <w:rPr>
          <w:b/>
          <w:szCs w:val="24"/>
        </w:rPr>
        <w:t>PASIŪLYMŲ</w:t>
      </w:r>
      <w:r w:rsidRPr="00650FFC">
        <w:rPr>
          <w:b/>
          <w:szCs w:val="24"/>
        </w:rPr>
        <w:t xml:space="preserve"> STEBĖSENA</w:t>
      </w:r>
    </w:p>
    <w:p w:rsidR="005F305E" w:rsidRPr="00650FFC" w:rsidRDefault="005F305E" w:rsidP="00AD5F1E">
      <w:pPr>
        <w:rPr>
          <w:szCs w:val="24"/>
        </w:rPr>
      </w:pPr>
    </w:p>
    <w:p w:rsidR="006B5B93" w:rsidRPr="00650FFC" w:rsidRDefault="002F03A6" w:rsidP="00AD5F1E">
      <w:pPr>
        <w:ind w:firstLine="851"/>
        <w:jc w:val="both"/>
        <w:rPr>
          <w:szCs w:val="24"/>
        </w:rPr>
      </w:pPr>
      <w:bookmarkStart w:id="1" w:name="OLE_LINK1"/>
      <w:bookmarkStart w:id="2" w:name="OLE_LINK2"/>
      <w:r w:rsidRPr="00650FFC">
        <w:rPr>
          <w:szCs w:val="24"/>
        </w:rPr>
        <w:t xml:space="preserve">Informacija apie </w:t>
      </w:r>
      <w:bookmarkEnd w:id="1"/>
      <w:bookmarkEnd w:id="2"/>
      <w:r w:rsidR="00B7560F" w:rsidRPr="00650FFC">
        <w:rPr>
          <w:szCs w:val="24"/>
        </w:rPr>
        <w:t>2017</w:t>
      </w:r>
      <w:r w:rsidR="00944A54" w:rsidRPr="00650FFC">
        <w:rPr>
          <w:szCs w:val="24"/>
        </w:rPr>
        <w:t xml:space="preserve"> m. </w:t>
      </w:r>
      <w:r w:rsidR="00FD7C8C" w:rsidRPr="00650FFC">
        <w:rPr>
          <w:szCs w:val="24"/>
        </w:rPr>
        <w:t>gegužės 30</w:t>
      </w:r>
      <w:r w:rsidR="00944A54" w:rsidRPr="00650FFC">
        <w:rPr>
          <w:szCs w:val="24"/>
        </w:rPr>
        <w:t xml:space="preserve"> d. </w:t>
      </w:r>
      <w:r w:rsidR="00AB62A9" w:rsidRPr="00650FFC">
        <w:rPr>
          <w:bCs/>
          <w:szCs w:val="24"/>
        </w:rPr>
        <w:t xml:space="preserve">išvadoje </w:t>
      </w:r>
      <w:r w:rsidR="00944A54" w:rsidRPr="00650FFC">
        <w:rPr>
          <w:bCs/>
          <w:szCs w:val="24"/>
        </w:rPr>
        <w:t xml:space="preserve">dėl </w:t>
      </w:r>
      <w:r w:rsidR="00FD7C8C" w:rsidRPr="00650FFC">
        <w:rPr>
          <w:bCs/>
          <w:szCs w:val="24"/>
        </w:rPr>
        <w:t xml:space="preserve">korupcijos rizikos analizės </w:t>
      </w:r>
      <w:r w:rsidR="00FD7C8C" w:rsidRPr="00650FFC">
        <w:rPr>
          <w:szCs w:val="24"/>
        </w:rPr>
        <w:t xml:space="preserve">Socialinės apsaugos ir darbo ministerijos </w:t>
      </w:r>
      <w:r w:rsidR="00FD7C8C" w:rsidRPr="00650FFC">
        <w:rPr>
          <w:bCs/>
          <w:szCs w:val="24"/>
        </w:rPr>
        <w:t xml:space="preserve">veiklos srityse </w:t>
      </w:r>
      <w:r w:rsidR="00944A54" w:rsidRPr="00650FFC">
        <w:rPr>
          <w:bCs/>
          <w:szCs w:val="24"/>
        </w:rPr>
        <w:t xml:space="preserve">Nr. </w:t>
      </w:r>
      <w:r w:rsidR="00FD7C8C" w:rsidRPr="00650FFC">
        <w:rPr>
          <w:rStyle w:val="dlxnowrap1"/>
          <w:bCs/>
          <w:szCs w:val="24"/>
        </w:rPr>
        <w:t>4-01-4019</w:t>
      </w:r>
      <w:r w:rsidR="00180BB0" w:rsidRPr="00650FFC">
        <w:rPr>
          <w:noProof/>
          <w:szCs w:val="24"/>
          <w:lang w:eastAsia="lt-LT"/>
        </w:rPr>
        <w:drawing>
          <wp:inline distT="0" distB="0" distL="0" distR="0" wp14:anchorId="48A1FBAD" wp14:editId="0940F7B7">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180BB0" w:rsidRPr="00650FFC">
        <w:rPr>
          <w:rStyle w:val="FootnoteTextChar"/>
          <w:rFonts w:ascii="Times New Roman" w:hAnsi="Times New Roman"/>
          <w:szCs w:val="24"/>
        </w:rPr>
        <w:t xml:space="preserve"> </w:t>
      </w:r>
      <w:r w:rsidR="0023172B" w:rsidRPr="00650FFC">
        <w:rPr>
          <w:rStyle w:val="dlxnowrap"/>
          <w:szCs w:val="24"/>
        </w:rPr>
        <w:t xml:space="preserve">(toliau – Išvada) </w:t>
      </w:r>
      <w:r w:rsidR="005F305E" w:rsidRPr="00650FFC">
        <w:rPr>
          <w:szCs w:val="24"/>
        </w:rPr>
        <w:t>nurodytų rekomendacijų įgyvendinimą</w:t>
      </w:r>
      <w:r w:rsidRPr="00650FFC">
        <w:rPr>
          <w:szCs w:val="24"/>
        </w:rPr>
        <w:t xml:space="preserve"> </w:t>
      </w:r>
      <w:r w:rsidR="00FD7C8C" w:rsidRPr="00650FFC">
        <w:rPr>
          <w:szCs w:val="24"/>
        </w:rPr>
        <w:t>pagal Lietuvos Respublikos socialinės apsaugos ir darbo ministerijos (toliau – Ministerija)</w:t>
      </w:r>
      <w:r w:rsidR="006B5B93" w:rsidRPr="00650FFC">
        <w:rPr>
          <w:szCs w:val="24"/>
        </w:rPr>
        <w:t>:</w:t>
      </w:r>
    </w:p>
    <w:p w:rsidR="00A569A0" w:rsidRPr="00650FFC" w:rsidRDefault="006B5B93" w:rsidP="00AD5F1E">
      <w:pPr>
        <w:ind w:firstLine="851"/>
        <w:jc w:val="both"/>
        <w:rPr>
          <w:szCs w:val="24"/>
        </w:rPr>
      </w:pPr>
      <w:r w:rsidRPr="00650FFC">
        <w:rPr>
          <w:szCs w:val="24"/>
        </w:rPr>
        <w:t>-</w:t>
      </w:r>
      <w:r w:rsidR="00FD7C8C" w:rsidRPr="00650FFC">
        <w:rPr>
          <w:szCs w:val="24"/>
        </w:rPr>
        <w:t xml:space="preserve"> 2017 m. lapkričio 23 d. raštą Nr. (9.6-3)SD-6509</w:t>
      </w:r>
      <w:r w:rsidRPr="00650FFC">
        <w:rPr>
          <w:szCs w:val="24"/>
        </w:rPr>
        <w:t>;</w:t>
      </w:r>
    </w:p>
    <w:p w:rsidR="004846EC" w:rsidRPr="00650FFC" w:rsidRDefault="006B5B93" w:rsidP="00AD5F1E">
      <w:pPr>
        <w:ind w:firstLine="851"/>
        <w:jc w:val="both"/>
        <w:rPr>
          <w:szCs w:val="24"/>
        </w:rPr>
      </w:pPr>
      <w:r w:rsidRPr="00650FFC">
        <w:rPr>
          <w:szCs w:val="24"/>
        </w:rPr>
        <w:t>- 2018 m. kovo 26 d. raštą Nr. (9.6-3)SD-1761</w:t>
      </w:r>
      <w:r w:rsidR="00EA0FE4" w:rsidRPr="00650FFC">
        <w:rPr>
          <w:szCs w:val="24"/>
        </w:rPr>
        <w:t>;</w:t>
      </w:r>
    </w:p>
    <w:p w:rsidR="006B5B93" w:rsidRPr="00650FFC" w:rsidRDefault="004846EC" w:rsidP="00AD5F1E">
      <w:pPr>
        <w:ind w:firstLine="851"/>
        <w:jc w:val="both"/>
        <w:rPr>
          <w:szCs w:val="24"/>
        </w:rPr>
      </w:pPr>
      <w:r w:rsidRPr="00650FFC">
        <w:rPr>
          <w:szCs w:val="24"/>
        </w:rPr>
        <w:t>- 2018 m. gruodžio 7 d. raštą (9.6-3)SD-6481</w:t>
      </w:r>
      <w:r w:rsidR="001D513F" w:rsidRPr="00650FFC">
        <w:rPr>
          <w:szCs w:val="24"/>
        </w:rPr>
        <w:t>.</w:t>
      </w:r>
    </w:p>
    <w:p w:rsidR="00C8357F" w:rsidRPr="00650FFC" w:rsidRDefault="00C8357F" w:rsidP="00AD5F1E">
      <w:pPr>
        <w:ind w:firstLine="851"/>
        <w:jc w:val="both"/>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7069"/>
        <w:gridCol w:w="3770"/>
      </w:tblGrid>
      <w:tr w:rsidR="0055550F" w:rsidRPr="00650FFC" w:rsidTr="006B176E">
        <w:tc>
          <w:tcPr>
            <w:tcW w:w="4437" w:type="dxa"/>
          </w:tcPr>
          <w:p w:rsidR="0062075E" w:rsidRPr="00650FFC" w:rsidRDefault="0062075E" w:rsidP="00AD5F1E">
            <w:pPr>
              <w:jc w:val="center"/>
              <w:rPr>
                <w:szCs w:val="24"/>
              </w:rPr>
            </w:pPr>
            <w:r w:rsidRPr="00650FFC">
              <w:rPr>
                <w:b/>
                <w:szCs w:val="24"/>
              </w:rPr>
              <w:t>Specialiųjų tyrimų tarnybos pateikti pasiūlymai</w:t>
            </w:r>
          </w:p>
        </w:tc>
        <w:tc>
          <w:tcPr>
            <w:tcW w:w="7069" w:type="dxa"/>
            <w:vAlign w:val="center"/>
          </w:tcPr>
          <w:p w:rsidR="0062075E" w:rsidRPr="00650FFC" w:rsidRDefault="00F2772A" w:rsidP="00AD5F1E">
            <w:pPr>
              <w:jc w:val="center"/>
              <w:rPr>
                <w:b/>
                <w:szCs w:val="24"/>
              </w:rPr>
            </w:pPr>
            <w:r w:rsidRPr="00650FFC">
              <w:rPr>
                <w:b/>
                <w:szCs w:val="24"/>
              </w:rPr>
              <w:t>Įstaigos</w:t>
            </w:r>
            <w:r w:rsidR="00D515D9" w:rsidRPr="00650FFC">
              <w:rPr>
                <w:b/>
                <w:szCs w:val="24"/>
              </w:rPr>
              <w:t xml:space="preserve"> </w:t>
            </w:r>
            <w:r w:rsidR="007E4B35" w:rsidRPr="00650FFC">
              <w:rPr>
                <w:b/>
                <w:szCs w:val="24"/>
              </w:rPr>
              <w:t>pateikta informacija</w:t>
            </w:r>
          </w:p>
        </w:tc>
        <w:tc>
          <w:tcPr>
            <w:tcW w:w="3770" w:type="dxa"/>
            <w:vAlign w:val="center"/>
          </w:tcPr>
          <w:p w:rsidR="0062075E" w:rsidRPr="00650FFC" w:rsidRDefault="00D515D9" w:rsidP="00AD5F1E">
            <w:pPr>
              <w:jc w:val="center"/>
              <w:rPr>
                <w:szCs w:val="24"/>
              </w:rPr>
            </w:pPr>
            <w:r w:rsidRPr="00650FFC">
              <w:rPr>
                <w:b/>
                <w:szCs w:val="24"/>
              </w:rPr>
              <w:t>Specialiųjų tyrimų tarnybos</w:t>
            </w:r>
            <w:r w:rsidR="0062075E" w:rsidRPr="00650FFC">
              <w:rPr>
                <w:b/>
                <w:szCs w:val="24"/>
              </w:rPr>
              <w:t xml:space="preserve"> komentaras</w:t>
            </w:r>
          </w:p>
        </w:tc>
      </w:tr>
      <w:tr w:rsidR="0055550F" w:rsidRPr="00650FFC" w:rsidTr="006B176E">
        <w:trPr>
          <w:tblHeader/>
        </w:trPr>
        <w:tc>
          <w:tcPr>
            <w:tcW w:w="4437" w:type="dxa"/>
            <w:tcBorders>
              <w:top w:val="single" w:sz="4" w:space="0" w:color="auto"/>
              <w:left w:val="single" w:sz="4" w:space="0" w:color="auto"/>
              <w:bottom w:val="single" w:sz="4" w:space="0" w:color="auto"/>
              <w:right w:val="nil"/>
            </w:tcBorders>
            <w:shd w:val="clear" w:color="auto" w:fill="auto"/>
          </w:tcPr>
          <w:p w:rsidR="00F2772A" w:rsidRPr="00650FFC" w:rsidRDefault="00FD6FD2" w:rsidP="00AD5F1E">
            <w:pPr>
              <w:pStyle w:val="ListParagraph"/>
              <w:spacing w:line="240" w:lineRule="auto"/>
              <w:ind w:left="0" w:firstLine="0"/>
              <w:contextualSpacing w:val="0"/>
              <w:rPr>
                <w:bCs/>
              </w:rPr>
            </w:pPr>
            <w:r w:rsidRPr="00650FFC">
              <w:rPr>
                <w:color w:val="000000"/>
              </w:rPr>
              <w:t xml:space="preserve">1. </w:t>
            </w:r>
            <w:r w:rsidR="00F2772A" w:rsidRPr="00650FFC">
              <w:rPr>
                <w:color w:val="000000"/>
              </w:rPr>
              <w:t xml:space="preserve">Viešai skelbti visus su </w:t>
            </w:r>
            <w:r w:rsidR="00F2772A" w:rsidRPr="00650FFC">
              <w:t xml:space="preserve">Valstybės investicijomis Ministerijai priskirtose valdymo srityse susijusius teisės aktus, tame tarpe, bet neapsiribojant: Investicijų planavimo Ministerijai priskirtai valdymo sričiai tvarkos aprašą, Įstaigų projektų atrankos komisijos darbo reglamentą, įsakymus, kuriais tvirtinami kapitalo investicijų paskirstymai socialinės apsaugos srityse (su pačiais paskirstymais), įsakymus, kuriais tvirtinamos </w:t>
            </w:r>
            <w:r w:rsidR="00F2772A" w:rsidRPr="00650FFC">
              <w:rPr>
                <w:color w:val="000000"/>
              </w:rPr>
              <w:t>visos socialinių paslaugų įstaigų investicijų projektų įgyvendinimo bei kitos programos ir projektai (su pačiomis programomis ir projektais).</w:t>
            </w:r>
          </w:p>
        </w:tc>
        <w:tc>
          <w:tcPr>
            <w:tcW w:w="7069" w:type="dxa"/>
            <w:tcBorders>
              <w:top w:val="single" w:sz="4" w:space="0" w:color="auto"/>
              <w:left w:val="single" w:sz="4" w:space="0" w:color="auto"/>
            </w:tcBorders>
            <w:shd w:val="clear" w:color="auto" w:fill="FFFFFF"/>
            <w:vAlign w:val="center"/>
          </w:tcPr>
          <w:p w:rsidR="006B5B93" w:rsidRPr="00650FFC" w:rsidRDefault="006B5B93" w:rsidP="00AD5F1E">
            <w:pPr>
              <w:jc w:val="both"/>
              <w:rPr>
                <w:i/>
                <w:szCs w:val="24"/>
              </w:rPr>
            </w:pPr>
            <w:r w:rsidRPr="00650FFC">
              <w:rPr>
                <w:i/>
                <w:szCs w:val="24"/>
              </w:rPr>
              <w:t>2017-11-23</w:t>
            </w:r>
          </w:p>
          <w:p w:rsidR="0055550F" w:rsidRPr="00650FFC" w:rsidRDefault="006B5B93" w:rsidP="00AD5F1E">
            <w:pPr>
              <w:jc w:val="both"/>
              <w:rPr>
                <w:color w:val="000000" w:themeColor="text1"/>
                <w:szCs w:val="24"/>
                <w:u w:val="single"/>
              </w:rPr>
            </w:pPr>
            <w:r w:rsidRPr="00650FFC">
              <w:rPr>
                <w:color w:val="000000" w:themeColor="text1"/>
                <w:szCs w:val="24"/>
                <w:u w:val="single"/>
              </w:rPr>
              <w:t xml:space="preserve">https://www.e-tar.lt/portal/lt/legalAct/1efb94a0831711e7922688da979d97a3 </w:t>
            </w:r>
            <w:r w:rsidR="00E13945" w:rsidRPr="00650FFC">
              <w:rPr>
                <w:color w:val="000000" w:themeColor="text1"/>
                <w:szCs w:val="24"/>
                <w:u w:val="single"/>
              </w:rPr>
              <w:t xml:space="preserve"> </w:t>
            </w:r>
          </w:p>
          <w:p w:rsidR="006B5B93" w:rsidRPr="00650FFC" w:rsidRDefault="006B5B93" w:rsidP="00AD5F1E">
            <w:pPr>
              <w:jc w:val="both"/>
              <w:rPr>
                <w:color w:val="000000" w:themeColor="text1"/>
                <w:szCs w:val="24"/>
                <w:u w:val="single"/>
              </w:rPr>
            </w:pPr>
          </w:p>
          <w:p w:rsidR="0055550F" w:rsidRPr="00650FFC" w:rsidRDefault="006B5B93" w:rsidP="00AD5F1E">
            <w:pPr>
              <w:jc w:val="both"/>
              <w:rPr>
                <w:rStyle w:val="Hyperlink"/>
                <w:color w:val="000000" w:themeColor="text1"/>
                <w:szCs w:val="24"/>
              </w:rPr>
            </w:pPr>
            <w:r w:rsidRPr="00650FFC">
              <w:rPr>
                <w:color w:val="000000" w:themeColor="text1"/>
                <w:szCs w:val="24"/>
                <w:u w:val="single"/>
              </w:rPr>
              <w:t xml:space="preserve">http://www.socmin.lt/lt/teisine-informacija/teises-aktai/ministro-isakymai/finansiniai-investiciniai.html </w:t>
            </w:r>
            <w:r w:rsidR="00E13945" w:rsidRPr="00650FFC">
              <w:rPr>
                <w:color w:val="000000" w:themeColor="text1"/>
                <w:szCs w:val="24"/>
                <w:u w:val="single"/>
              </w:rPr>
              <w:t xml:space="preserve"> </w:t>
            </w:r>
            <w:r w:rsidRPr="00650FFC">
              <w:rPr>
                <w:color w:val="000000" w:themeColor="text1"/>
                <w:szCs w:val="24"/>
                <w:u w:val="single"/>
              </w:rPr>
              <w:t xml:space="preserve"> </w:t>
            </w:r>
          </w:p>
          <w:p w:rsidR="0055550F" w:rsidRPr="00650FFC" w:rsidRDefault="0055550F" w:rsidP="00AD5F1E">
            <w:pPr>
              <w:jc w:val="both"/>
              <w:rPr>
                <w:color w:val="000000" w:themeColor="text1"/>
                <w:szCs w:val="24"/>
                <w:u w:val="single"/>
              </w:rPr>
            </w:pPr>
          </w:p>
          <w:p w:rsidR="00F2772A" w:rsidRPr="00650FFC" w:rsidRDefault="006B5B93" w:rsidP="00AD5F1E">
            <w:pPr>
              <w:jc w:val="both"/>
              <w:rPr>
                <w:color w:val="000000" w:themeColor="text1"/>
                <w:szCs w:val="24"/>
              </w:rPr>
            </w:pPr>
            <w:r w:rsidRPr="00650FFC">
              <w:rPr>
                <w:color w:val="000000" w:themeColor="text1"/>
                <w:szCs w:val="24"/>
                <w:u w:val="single"/>
              </w:rPr>
              <w:t>http://www.sppd.lt/lt/veikla/valstybs-investicij-programa/</w:t>
            </w:r>
            <w:r w:rsidR="00E13945" w:rsidRPr="00650FFC">
              <w:rPr>
                <w:color w:val="000000" w:themeColor="text1"/>
                <w:szCs w:val="24"/>
              </w:rPr>
              <w:t xml:space="preserve"> </w:t>
            </w:r>
          </w:p>
          <w:p w:rsidR="006B5B93" w:rsidRPr="00650FFC" w:rsidRDefault="006B5B93" w:rsidP="00AD5F1E">
            <w:pPr>
              <w:jc w:val="both"/>
              <w:rPr>
                <w:color w:val="000000" w:themeColor="text1"/>
                <w:szCs w:val="24"/>
              </w:rPr>
            </w:pPr>
          </w:p>
          <w:p w:rsidR="006B5B93" w:rsidRPr="00650FFC" w:rsidRDefault="006B5B93" w:rsidP="00AD5F1E">
            <w:pPr>
              <w:rPr>
                <w:rStyle w:val="Bodytext20"/>
                <w:rFonts w:eastAsia="Calibri"/>
                <w:i/>
              </w:rPr>
            </w:pPr>
            <w:r w:rsidRPr="00650FFC">
              <w:rPr>
                <w:rStyle w:val="Bodytext20"/>
                <w:rFonts w:eastAsia="Calibri"/>
                <w:i/>
              </w:rPr>
              <w:t>2018-03-26</w:t>
            </w:r>
          </w:p>
          <w:p w:rsidR="001102C9" w:rsidRPr="00650FFC" w:rsidRDefault="006B5B93" w:rsidP="00AD5F1E">
            <w:pPr>
              <w:rPr>
                <w:rStyle w:val="Bodytext20"/>
                <w:rFonts w:eastAsia="Calibri"/>
                <w:lang w:val="en-US" w:bidi="en-US"/>
              </w:rPr>
            </w:pPr>
            <w:r w:rsidRPr="00650FFC">
              <w:rPr>
                <w:rStyle w:val="Bodytext20"/>
                <w:rFonts w:eastAsia="Calibri"/>
              </w:rPr>
              <w:t xml:space="preserve">Socialinės apsaugos srities investicinių projektų atrankos komisijos darbo reglamentas - </w:t>
            </w:r>
            <w:r w:rsidRPr="00650FFC">
              <w:rPr>
                <w:rStyle w:val="Bodytext20"/>
                <w:rFonts w:eastAsia="Calibri"/>
                <w:u w:val="single"/>
                <w:lang w:val="en-US" w:eastAsia="en-US" w:bidi="en-US"/>
              </w:rPr>
              <w:t>https://socmin.lrv.lt/uploads/socmin/documents</w:t>
            </w:r>
            <w:r w:rsidRPr="00650FFC">
              <w:rPr>
                <w:rStyle w:val="Bodytext20"/>
                <w:rFonts w:eastAsia="Calibri"/>
                <w:u w:val="single"/>
              </w:rPr>
              <w:t xml:space="preserve">/files/veikla/planavimo-dokumentai/VIP%20komisijos%20Darbo%20r eglamentas%20-%20protokolo%20Nr D5- 253%20-%202017-08-l </w:t>
            </w:r>
            <w:r w:rsidRPr="00650FFC">
              <w:rPr>
                <w:rStyle w:val="Bodytext20"/>
                <w:rFonts w:eastAsia="Calibri"/>
                <w:u w:val="single"/>
                <w:lang w:val="en-US" w:bidi="en-US"/>
              </w:rPr>
              <w:t>8.pdf</w:t>
            </w:r>
            <w:r w:rsidR="001102C9" w:rsidRPr="00650FFC">
              <w:rPr>
                <w:rStyle w:val="Bodytext20"/>
                <w:rFonts w:eastAsia="Calibri"/>
                <w:lang w:val="en-US" w:bidi="en-US"/>
              </w:rPr>
              <w:t>.</w:t>
            </w:r>
          </w:p>
          <w:p w:rsidR="006B5B93" w:rsidRPr="00650FFC" w:rsidRDefault="006B5B93" w:rsidP="00AD5F1E">
            <w:pPr>
              <w:rPr>
                <w:szCs w:val="24"/>
              </w:rPr>
            </w:pPr>
          </w:p>
          <w:p w:rsidR="006B5B93" w:rsidRPr="00650FFC" w:rsidRDefault="006B5B93" w:rsidP="00AD5F1E">
            <w:pPr>
              <w:tabs>
                <w:tab w:val="left" w:pos="1214"/>
                <w:tab w:val="left" w:pos="2390"/>
                <w:tab w:val="left" w:pos="3456"/>
              </w:tabs>
              <w:rPr>
                <w:szCs w:val="24"/>
              </w:rPr>
            </w:pPr>
            <w:r w:rsidRPr="00650FFC">
              <w:rPr>
                <w:rStyle w:val="Bodytext20"/>
                <w:rFonts w:eastAsia="Calibri"/>
              </w:rPr>
              <w:t>Socialinių</w:t>
            </w:r>
            <w:r w:rsidR="001102C9" w:rsidRPr="00650FFC">
              <w:rPr>
                <w:rStyle w:val="Bodytext20"/>
                <w:rFonts w:eastAsia="Calibri"/>
              </w:rPr>
              <w:t xml:space="preserve"> </w:t>
            </w:r>
            <w:r w:rsidRPr="00650FFC">
              <w:rPr>
                <w:rStyle w:val="Bodytext20"/>
                <w:rFonts w:eastAsia="Calibri"/>
              </w:rPr>
              <w:t>paslaugų</w:t>
            </w:r>
            <w:r w:rsidR="001102C9" w:rsidRPr="00650FFC">
              <w:rPr>
                <w:rStyle w:val="Bodytext20"/>
                <w:rFonts w:eastAsia="Calibri"/>
              </w:rPr>
              <w:t xml:space="preserve"> </w:t>
            </w:r>
            <w:r w:rsidRPr="00650FFC">
              <w:rPr>
                <w:rStyle w:val="Bodytext20"/>
                <w:rFonts w:eastAsia="Calibri"/>
              </w:rPr>
              <w:t>įstaigų</w:t>
            </w:r>
            <w:r w:rsidR="001102C9" w:rsidRPr="00650FFC">
              <w:rPr>
                <w:rStyle w:val="Bodytext20"/>
                <w:rFonts w:eastAsia="Calibri"/>
              </w:rPr>
              <w:t xml:space="preserve"> </w:t>
            </w:r>
            <w:r w:rsidRPr="00650FFC">
              <w:rPr>
                <w:rStyle w:val="Bodytext20"/>
                <w:rFonts w:eastAsia="Calibri"/>
              </w:rPr>
              <w:t>investicinių projektų vertinimo</w:t>
            </w:r>
            <w:r w:rsidR="001102C9" w:rsidRPr="00650FFC">
              <w:rPr>
                <w:rStyle w:val="Bodytext20"/>
                <w:rFonts w:eastAsia="Calibri"/>
              </w:rPr>
              <w:t xml:space="preserve"> </w:t>
            </w:r>
            <w:r w:rsidRPr="00650FFC">
              <w:rPr>
                <w:rStyle w:val="Bodytext20"/>
                <w:rFonts w:eastAsia="Calibri"/>
              </w:rPr>
              <w:t>tvarkos aprašas</w:t>
            </w:r>
          </w:p>
          <w:p w:rsidR="006B5B93" w:rsidRPr="00650FFC" w:rsidRDefault="006B5B93" w:rsidP="00AD5F1E">
            <w:pPr>
              <w:tabs>
                <w:tab w:val="left" w:leader="underscore" w:pos="4632"/>
              </w:tabs>
              <w:rPr>
                <w:rStyle w:val="Bodytext20"/>
                <w:rFonts w:eastAsia="Calibri"/>
              </w:rPr>
            </w:pPr>
            <w:r w:rsidRPr="00650FFC">
              <w:rPr>
                <w:rStyle w:val="Bodytext20"/>
                <w:rFonts w:eastAsia="Calibri"/>
                <w:u w:val="single"/>
                <w:lang w:val="en-US" w:eastAsia="en-US" w:bidi="en-US"/>
              </w:rPr>
              <w:t xml:space="preserve">http://www.sppd.lt/lt/veiklos- </w:t>
            </w:r>
            <w:r w:rsidRPr="00650FFC">
              <w:rPr>
                <w:rStyle w:val="Bodytext20"/>
                <w:rFonts w:eastAsia="Calibri"/>
                <w:u w:val="single"/>
                <w:lang w:eastAsia="en-US" w:bidi="ar-SA"/>
              </w:rPr>
              <w:t>sritys/informacija-apie-socialini-paslaug-staig-</w:t>
            </w:r>
            <w:r w:rsidRPr="00650FFC">
              <w:rPr>
                <w:rStyle w:val="Bodytext20"/>
                <w:rFonts w:eastAsia="Calibri"/>
                <w:u w:val="single"/>
              </w:rPr>
              <w:t>investicij-projektus-ir/</w:t>
            </w:r>
            <w:r w:rsidRPr="00650FFC">
              <w:rPr>
                <w:rStyle w:val="Bodytext20"/>
                <w:rFonts w:eastAsia="Calibri"/>
              </w:rPr>
              <w:t>.</w:t>
            </w:r>
          </w:p>
          <w:p w:rsidR="006B5B93" w:rsidRPr="00650FFC" w:rsidRDefault="006B5B93" w:rsidP="00AD5F1E">
            <w:pPr>
              <w:jc w:val="both"/>
              <w:rPr>
                <w:color w:val="000000" w:themeColor="text1"/>
                <w:szCs w:val="24"/>
              </w:rPr>
            </w:pPr>
          </w:p>
        </w:tc>
        <w:tc>
          <w:tcPr>
            <w:tcW w:w="3770" w:type="dxa"/>
            <w:tcBorders>
              <w:top w:val="single" w:sz="4" w:space="0" w:color="auto"/>
              <w:bottom w:val="single" w:sz="4" w:space="0" w:color="auto"/>
            </w:tcBorders>
            <w:vAlign w:val="center"/>
          </w:tcPr>
          <w:p w:rsidR="001102C9" w:rsidRPr="0089678E" w:rsidRDefault="001102C9" w:rsidP="00AD5F1E">
            <w:pPr>
              <w:jc w:val="both"/>
              <w:rPr>
                <w:rFonts w:eastAsia="Times New Roman"/>
                <w:color w:val="00B050"/>
                <w:szCs w:val="24"/>
                <w:lang w:eastAsia="lt-LT"/>
              </w:rPr>
            </w:pPr>
            <w:r w:rsidRPr="0089678E">
              <w:rPr>
                <w:rFonts w:eastAsia="Times New Roman"/>
                <w:color w:val="00B050"/>
                <w:szCs w:val="24"/>
                <w:lang w:eastAsia="lt-LT"/>
              </w:rPr>
              <w:t>Pasiūlymas laikytinas įgyvendintu.</w:t>
            </w:r>
          </w:p>
          <w:p w:rsidR="00F2772A" w:rsidRPr="0089678E" w:rsidRDefault="0089678E" w:rsidP="0089678E">
            <w:pPr>
              <w:jc w:val="both"/>
              <w:rPr>
                <w:b/>
                <w:color w:val="00B050"/>
                <w:szCs w:val="24"/>
              </w:rPr>
            </w:pPr>
            <w:r w:rsidRPr="0089678E">
              <w:rPr>
                <w:rFonts w:eastAsia="Times New Roman"/>
                <w:color w:val="00B050"/>
                <w:szCs w:val="24"/>
                <w:lang w:eastAsia="lt-LT"/>
              </w:rPr>
              <w:t>Tačiau siūlytina, informaciją skelbti labiau intuityviai nuspėjamoje interneto svetainės vietoje, nes dabar (2018-12-20) informacija yra skelbiama „</w:t>
            </w:r>
            <w:r w:rsidRPr="0089678E">
              <w:rPr>
                <w:color w:val="00B050"/>
                <w:spacing w:val="5"/>
                <w:szCs w:val="24"/>
              </w:rPr>
              <w:t xml:space="preserve">Administracinė informacija &gt;&gt; Planavimo dokumentai &gt;&gt; </w:t>
            </w:r>
            <w:r w:rsidRPr="0089678E">
              <w:rPr>
                <w:color w:val="00B050"/>
                <w:szCs w:val="24"/>
              </w:rPr>
              <w:t>Socialinės apsaugos srities kapitalo investicijos“</w:t>
            </w:r>
            <w:r w:rsidR="001102C9" w:rsidRPr="0089678E">
              <w:rPr>
                <w:rFonts w:eastAsia="Times New Roman"/>
                <w:color w:val="00B050"/>
                <w:szCs w:val="24"/>
                <w:lang w:eastAsia="lt-LT"/>
              </w:rPr>
              <w:t>.</w:t>
            </w:r>
          </w:p>
        </w:tc>
      </w:tr>
      <w:tr w:rsidR="00A005F5" w:rsidRPr="00650FFC" w:rsidTr="006B176E">
        <w:trPr>
          <w:tblHeader/>
        </w:trPr>
        <w:tc>
          <w:tcPr>
            <w:tcW w:w="4437" w:type="dxa"/>
            <w:tcBorders>
              <w:top w:val="single" w:sz="4" w:space="0" w:color="auto"/>
              <w:left w:val="single" w:sz="4" w:space="0" w:color="auto"/>
              <w:bottom w:val="single" w:sz="4" w:space="0" w:color="auto"/>
              <w:right w:val="nil"/>
            </w:tcBorders>
            <w:shd w:val="clear" w:color="auto" w:fill="auto"/>
          </w:tcPr>
          <w:p w:rsidR="00A005F5" w:rsidRPr="00650FFC" w:rsidRDefault="00A005F5" w:rsidP="00AD5F1E">
            <w:pPr>
              <w:pStyle w:val="ListParagraph"/>
              <w:spacing w:line="240" w:lineRule="auto"/>
              <w:ind w:left="0" w:firstLine="0"/>
              <w:contextualSpacing w:val="0"/>
            </w:pPr>
            <w:r w:rsidRPr="00650FFC">
              <w:rPr>
                <w:color w:val="000000"/>
              </w:rPr>
              <w:t xml:space="preserve">2. Visiems socialinės apsaugos srities valstybės investicijų projektams nustatyti vienodą administravimo reglamentavimą, kuris su įgyvendintais 3 skyriuje </w:t>
            </w:r>
            <w:r w:rsidRPr="00650FFC">
              <w:rPr>
                <w:color w:val="000000"/>
              </w:rPr>
              <w:lastRenderedPageBreak/>
              <w:t xml:space="preserve">„SOCIALINIŲ PASLAUGŲ ĮSTAIGŲ INVESTICIJŲ PROJEKTŲ ĮGYVENDINIMO PROGRAMA“ pateikiamais pasiūlymais </w:t>
            </w:r>
            <w:r w:rsidRPr="00650FFC">
              <w:rPr>
                <w:i/>
                <w:color w:val="000000"/>
              </w:rPr>
              <w:t>mutatis mutandis</w:t>
            </w:r>
            <w:r w:rsidRPr="00650FFC">
              <w:rPr>
                <w:color w:val="000000"/>
              </w:rPr>
              <w:t xml:space="preserve"> (</w:t>
            </w:r>
            <w:r w:rsidRPr="00650FFC">
              <w:rPr>
                <w:shd w:val="clear" w:color="auto" w:fill="FFFFFF"/>
              </w:rPr>
              <w:t>su tam tikrais pakeitimais</w:t>
            </w:r>
            <w:r w:rsidRPr="00650FFC">
              <w:rPr>
                <w:color w:val="575757"/>
                <w:shd w:val="clear" w:color="auto" w:fill="FFFFFF"/>
              </w:rPr>
              <w:t xml:space="preserve">) </w:t>
            </w:r>
            <w:r w:rsidRPr="00650FFC">
              <w:rPr>
                <w:color w:val="000000"/>
              </w:rPr>
              <w:t xml:space="preserve">atitiktų socialinių paslaugų įstaigų investicijų projektų atranką, finansavimo skyrimą ir vykdymo kontrolę, arba esant objektyviam ir motyvuotam skirtingo reglamentavimo poreikiui, imtis priemonių, kad būtų įgyvendinami esminiai (3 skyriuje „SOCIALINIŲ PASLAUGŲ ĮSTAIGŲ INVESTICIJŲ PROJEKTŲ ĮGYVENDINIMO PROGRAMA“ akcentuojami) finansuotinų projektų atrankos, finansavimo skyrimo ir vykdymo kontrolės </w:t>
            </w:r>
            <w:r w:rsidRPr="00650FFC">
              <w:t>skaidrumą užtikrinantys principai.</w:t>
            </w:r>
          </w:p>
        </w:tc>
        <w:tc>
          <w:tcPr>
            <w:tcW w:w="7069" w:type="dxa"/>
            <w:tcBorders>
              <w:top w:val="single" w:sz="4" w:space="0" w:color="auto"/>
              <w:left w:val="single" w:sz="4" w:space="0" w:color="auto"/>
            </w:tcBorders>
            <w:shd w:val="clear" w:color="auto" w:fill="FFFFFF"/>
            <w:vAlign w:val="center"/>
          </w:tcPr>
          <w:p w:rsidR="00A005F5" w:rsidRPr="00650FFC" w:rsidRDefault="00A005F5" w:rsidP="00AD5F1E">
            <w:pPr>
              <w:rPr>
                <w:szCs w:val="24"/>
              </w:rPr>
            </w:pPr>
            <w:r w:rsidRPr="00650FFC">
              <w:rPr>
                <w:szCs w:val="24"/>
              </w:rPr>
              <w:lastRenderedPageBreak/>
              <w:t>Tvarkos aprašas.</w:t>
            </w:r>
          </w:p>
        </w:tc>
        <w:tc>
          <w:tcPr>
            <w:tcW w:w="3770" w:type="dxa"/>
            <w:tcBorders>
              <w:top w:val="single" w:sz="4" w:space="0" w:color="auto"/>
              <w:bottom w:val="single" w:sz="4" w:space="0" w:color="auto"/>
            </w:tcBorders>
            <w:vAlign w:val="center"/>
          </w:tcPr>
          <w:p w:rsidR="00E374BF" w:rsidRPr="00650FFC" w:rsidRDefault="00E374BF"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A005F5" w:rsidRPr="00650FFC" w:rsidRDefault="00E374BF" w:rsidP="00AD5F1E">
            <w:pPr>
              <w:jc w:val="both"/>
              <w:rPr>
                <w:b/>
                <w:szCs w:val="24"/>
              </w:rPr>
            </w:pPr>
            <w:r w:rsidRPr="00650FFC">
              <w:rPr>
                <w:rFonts w:eastAsia="Times New Roman"/>
                <w:color w:val="00B050"/>
                <w:szCs w:val="24"/>
                <w:lang w:eastAsia="lt-LT"/>
              </w:rPr>
              <w:t>Pastabų ir pasiūlymų nėra.</w:t>
            </w:r>
          </w:p>
        </w:tc>
      </w:tr>
      <w:tr w:rsidR="00A005F5" w:rsidRPr="00650FFC" w:rsidTr="006B176E">
        <w:trPr>
          <w:tblHeader/>
        </w:trPr>
        <w:tc>
          <w:tcPr>
            <w:tcW w:w="4437" w:type="dxa"/>
            <w:tcBorders>
              <w:top w:val="single" w:sz="4" w:space="0" w:color="auto"/>
              <w:left w:val="single" w:sz="4" w:space="0" w:color="auto"/>
              <w:bottom w:val="single" w:sz="4" w:space="0" w:color="auto"/>
              <w:right w:val="nil"/>
            </w:tcBorders>
            <w:shd w:val="clear" w:color="auto" w:fill="auto"/>
          </w:tcPr>
          <w:p w:rsidR="00A005F5" w:rsidRPr="00650FFC" w:rsidRDefault="00F1212E" w:rsidP="00AD5F1E">
            <w:pPr>
              <w:pStyle w:val="ListParagraph"/>
              <w:spacing w:line="240" w:lineRule="auto"/>
              <w:ind w:left="0" w:firstLine="0"/>
              <w:contextualSpacing w:val="0"/>
            </w:pPr>
            <w:r w:rsidRPr="00650FFC">
              <w:lastRenderedPageBreak/>
              <w:t xml:space="preserve">3. </w:t>
            </w:r>
            <w:r w:rsidR="00A005F5" w:rsidRPr="00650FFC">
              <w:t>Ministerijos teisės aktuose nustatyti prievolę (ir šią prievolę vykdyti) viešai skelbti:</w:t>
            </w:r>
          </w:p>
          <w:p w:rsidR="00F1212E" w:rsidRPr="00650FFC" w:rsidRDefault="00F1212E" w:rsidP="00AD5F1E">
            <w:pPr>
              <w:pStyle w:val="ListParagraph"/>
              <w:spacing w:line="240" w:lineRule="auto"/>
              <w:ind w:left="0" w:firstLine="0"/>
              <w:contextualSpacing w:val="0"/>
            </w:pPr>
            <w:r w:rsidRPr="00650FFC">
              <w:t>3.1. kas atitinkamais metais pretenduoja gauti finansavimą;</w:t>
            </w:r>
          </w:p>
          <w:p w:rsidR="00F1212E" w:rsidRPr="00650FFC" w:rsidRDefault="00F1212E" w:rsidP="00AD5F1E">
            <w:pPr>
              <w:pStyle w:val="ListParagraph"/>
              <w:spacing w:line="240" w:lineRule="auto"/>
              <w:ind w:left="0" w:firstLine="0"/>
              <w:contextualSpacing w:val="0"/>
            </w:pPr>
            <w:r w:rsidRPr="00650FFC">
              <w:t>3.2. kam finansavimas buvo skirtas/neskirtas;</w:t>
            </w:r>
          </w:p>
          <w:p w:rsidR="00F1212E" w:rsidRPr="00650FFC" w:rsidRDefault="00F1212E" w:rsidP="00AD5F1E">
            <w:pPr>
              <w:pStyle w:val="ListParagraph"/>
              <w:spacing w:line="240" w:lineRule="auto"/>
              <w:ind w:left="0" w:firstLine="0"/>
              <w:contextualSpacing w:val="0"/>
            </w:pPr>
            <w:r w:rsidRPr="00650FFC">
              <w:t>3.3. finansavimo skyrimo ar neskyrimo motyvai;</w:t>
            </w:r>
          </w:p>
          <w:p w:rsidR="00F1212E" w:rsidRPr="00650FFC" w:rsidRDefault="00F1212E" w:rsidP="00AD5F1E">
            <w:pPr>
              <w:pStyle w:val="ListParagraph"/>
              <w:spacing w:line="240" w:lineRule="auto"/>
              <w:ind w:left="0" w:firstLine="0"/>
              <w:contextualSpacing w:val="0"/>
            </w:pPr>
            <w:r w:rsidRPr="00650FFC">
              <w:t>3.4. Įstaigų projektų atrankos komisijos posėdžių protokolus;</w:t>
            </w:r>
          </w:p>
          <w:p w:rsidR="00F1212E" w:rsidRPr="00650FFC" w:rsidRDefault="00F1212E" w:rsidP="00AD5F1E">
            <w:pPr>
              <w:pStyle w:val="ListParagraph"/>
              <w:spacing w:line="240" w:lineRule="auto"/>
              <w:ind w:left="0" w:firstLine="0"/>
              <w:contextualSpacing w:val="0"/>
            </w:pPr>
            <w:r w:rsidRPr="00650FFC">
              <w:t>3.5. projektus vykdančių įstaigų atskaitas ir investicinių projektų įgyvendinimo rezultatus;</w:t>
            </w:r>
          </w:p>
          <w:p w:rsidR="00F1212E" w:rsidRPr="00650FFC" w:rsidRDefault="00F1212E" w:rsidP="00AD5F1E">
            <w:pPr>
              <w:pStyle w:val="ListParagraph"/>
              <w:spacing w:line="240" w:lineRule="auto"/>
              <w:ind w:left="0" w:firstLine="0"/>
              <w:contextualSpacing w:val="0"/>
            </w:pPr>
            <w:r w:rsidRPr="00650FFC">
              <w:t>3.6. projektų patikrinimų projektų įgyvendinimo vietoje rezultatus;</w:t>
            </w:r>
          </w:p>
          <w:p w:rsidR="00F1212E" w:rsidRPr="00650FFC" w:rsidRDefault="00F1212E" w:rsidP="00AD5F1E">
            <w:pPr>
              <w:pStyle w:val="ListParagraph"/>
              <w:spacing w:line="240" w:lineRule="auto"/>
              <w:ind w:left="0" w:firstLine="0"/>
              <w:contextualSpacing w:val="0"/>
            </w:pPr>
            <w:r w:rsidRPr="00650FFC">
              <w:t>3.7. kita aktualią informaciją.</w:t>
            </w:r>
          </w:p>
        </w:tc>
        <w:tc>
          <w:tcPr>
            <w:tcW w:w="7069" w:type="dxa"/>
            <w:tcBorders>
              <w:top w:val="single" w:sz="4" w:space="0" w:color="auto"/>
              <w:left w:val="single" w:sz="4" w:space="0" w:color="auto"/>
              <w:bottom w:val="single" w:sz="4" w:space="0" w:color="auto"/>
            </w:tcBorders>
            <w:shd w:val="clear" w:color="auto" w:fill="FFFFFF"/>
            <w:vAlign w:val="center"/>
          </w:tcPr>
          <w:p w:rsidR="00D3546B" w:rsidRPr="00650FFC" w:rsidRDefault="00D3546B" w:rsidP="00AD5F1E">
            <w:pPr>
              <w:jc w:val="both"/>
              <w:rPr>
                <w:i/>
                <w:szCs w:val="24"/>
              </w:rPr>
            </w:pPr>
            <w:r w:rsidRPr="00650FFC">
              <w:rPr>
                <w:i/>
                <w:szCs w:val="24"/>
              </w:rPr>
              <w:t>2017-11-23</w:t>
            </w:r>
          </w:p>
          <w:p w:rsidR="00A005F5" w:rsidRPr="00650FFC" w:rsidRDefault="00F1212E" w:rsidP="00AD5F1E">
            <w:pPr>
              <w:jc w:val="both"/>
              <w:rPr>
                <w:szCs w:val="24"/>
              </w:rPr>
            </w:pPr>
            <w:r w:rsidRPr="00650FFC">
              <w:rPr>
                <w:szCs w:val="24"/>
              </w:rPr>
              <w:t>Tvarkos aprašo 7 p., 25 p., 35 p.</w:t>
            </w:r>
          </w:p>
          <w:p w:rsidR="00D3546B" w:rsidRPr="00650FFC" w:rsidRDefault="00D3546B" w:rsidP="00AD5F1E">
            <w:pPr>
              <w:jc w:val="both"/>
              <w:rPr>
                <w:szCs w:val="24"/>
              </w:rPr>
            </w:pPr>
          </w:p>
          <w:p w:rsidR="00D3546B" w:rsidRPr="00650FFC" w:rsidRDefault="00D3546B" w:rsidP="00AD5F1E">
            <w:pPr>
              <w:jc w:val="both"/>
              <w:rPr>
                <w:i/>
                <w:szCs w:val="24"/>
              </w:rPr>
            </w:pPr>
            <w:r w:rsidRPr="00650FFC">
              <w:rPr>
                <w:i/>
                <w:szCs w:val="24"/>
              </w:rPr>
              <w:t>2018-03-26</w:t>
            </w:r>
          </w:p>
          <w:p w:rsidR="00D3546B" w:rsidRPr="00650FFC" w:rsidRDefault="00D3546B" w:rsidP="00AD5F1E">
            <w:pPr>
              <w:tabs>
                <w:tab w:val="left" w:pos="1790"/>
                <w:tab w:val="right" w:pos="4608"/>
              </w:tabs>
              <w:jc w:val="both"/>
              <w:rPr>
                <w:szCs w:val="24"/>
              </w:rPr>
            </w:pPr>
            <w:r w:rsidRPr="00650FFC">
              <w:rPr>
                <w:rStyle w:val="Bodytext20"/>
                <w:rFonts w:eastAsia="Calibri"/>
              </w:rPr>
              <w:t>Lietuvos Respublikos socialinės apsaugos ir darbo ministro 2018 m. sausio 29 d. įsakymu Nr. Al-37 „Dėl Lietuvos Respublikos socialinės apsaugos ir darbo ministro 2017 m. rugpjūčio 17 d. įsakymo Nr. Al-435 „Dėl socialinės apsaugos srities investicijų projektų planavimo, atrankos, finansavimo, įgyvendinimo ir kontrolės tvarkos aprašo patvirtinimo“ pakeitimo“ Socialinės apsaugos srities investicijų projektų planavimo, atrankos, finansavimo, įgyvendinimo ir kontrolės tvarkos aprašo pakeitimas, pagal kurį tvarkos aprašo 7, 25 ir 35 punktų nuostatos taikomos ne tik informacijos, susijusios su socialinių paslaugų įstaigų investiciniais projektais, viešinimui, bet ir informacijai apie Ministerijos administracijos padalinių, įstaigų prie Ministerijos, kitų Ministerijai pavaldžių įstaigų (išskyrus socialinių paslaugų įstaigų) investicinius projektus.</w:t>
            </w:r>
          </w:p>
          <w:p w:rsidR="00D3546B" w:rsidRPr="00650FFC" w:rsidRDefault="005F307A" w:rsidP="00AD5F1E">
            <w:pPr>
              <w:rPr>
                <w:color w:val="000000" w:themeColor="text1"/>
                <w:szCs w:val="24"/>
              </w:rPr>
            </w:pPr>
            <w:hyperlink r:id="rId9" w:history="1">
              <w:r w:rsidR="00D3546B" w:rsidRPr="00650FFC">
                <w:rPr>
                  <w:rStyle w:val="Hyperlink"/>
                  <w:color w:val="000000" w:themeColor="text1"/>
                  <w:szCs w:val="24"/>
                  <w:lang w:bidi="en-US"/>
                </w:rPr>
                <w:t>https://socmin.lrv.lt/uploads/socmin/documents</w:t>
              </w:r>
              <w:r w:rsidR="00D3546B" w:rsidRPr="00650FFC">
                <w:rPr>
                  <w:rStyle w:val="Hyperlink"/>
                  <w:color w:val="000000" w:themeColor="text1"/>
                  <w:szCs w:val="24"/>
                  <w:lang w:eastAsia="lt-LT" w:bidi="lt-LT"/>
                </w:rPr>
                <w:t>/files/veikla/planavimo-dokumentai/2018-01-29%20Al-37.pdf</w:t>
              </w:r>
            </w:hyperlink>
            <w:r w:rsidR="00D3546B" w:rsidRPr="00650FFC">
              <w:rPr>
                <w:rStyle w:val="Bodytext20"/>
                <w:rFonts w:eastAsia="Calibri"/>
                <w:color w:val="000000" w:themeColor="text1"/>
              </w:rPr>
              <w:t>.</w:t>
            </w:r>
          </w:p>
          <w:p w:rsidR="00D3546B" w:rsidRPr="00650FFC" w:rsidRDefault="00D3546B" w:rsidP="00AD5F1E">
            <w:pPr>
              <w:spacing w:after="240"/>
              <w:jc w:val="both"/>
              <w:rPr>
                <w:i/>
                <w:szCs w:val="24"/>
              </w:rPr>
            </w:pPr>
          </w:p>
        </w:tc>
        <w:tc>
          <w:tcPr>
            <w:tcW w:w="3770" w:type="dxa"/>
            <w:tcBorders>
              <w:top w:val="single" w:sz="4" w:space="0" w:color="auto"/>
              <w:bottom w:val="single" w:sz="4" w:space="0" w:color="auto"/>
            </w:tcBorders>
            <w:vAlign w:val="center"/>
          </w:tcPr>
          <w:p w:rsidR="00B248A3" w:rsidRPr="00650FFC" w:rsidRDefault="00B248A3" w:rsidP="00AD5F1E">
            <w:pPr>
              <w:jc w:val="both"/>
              <w:rPr>
                <w:rFonts w:eastAsia="Times New Roman"/>
                <w:color w:val="00B050"/>
                <w:szCs w:val="24"/>
                <w:lang w:eastAsia="lt-LT"/>
              </w:rPr>
            </w:pPr>
            <w:r w:rsidRPr="00650FFC">
              <w:rPr>
                <w:rFonts w:eastAsia="Times New Roman"/>
                <w:color w:val="00B050"/>
                <w:szCs w:val="24"/>
                <w:lang w:eastAsia="lt-LT"/>
              </w:rPr>
              <w:lastRenderedPageBreak/>
              <w:t>Pasiūlymas laikytinas įgyvendintu.</w:t>
            </w:r>
          </w:p>
          <w:p w:rsidR="000652B4" w:rsidRPr="00650FFC" w:rsidRDefault="00CD1499" w:rsidP="00AD5F1E">
            <w:pPr>
              <w:jc w:val="both"/>
              <w:rPr>
                <w:b/>
                <w:szCs w:val="24"/>
              </w:rPr>
            </w:pPr>
            <w:r w:rsidRPr="0089678E">
              <w:rPr>
                <w:rFonts w:eastAsia="Times New Roman"/>
                <w:color w:val="00B050"/>
                <w:szCs w:val="24"/>
                <w:lang w:eastAsia="lt-LT"/>
              </w:rPr>
              <w:t>Tačiau siūlytina, informaciją skelbti labiau intuityviai nuspėjamoje interneto svetainės vietoje, nes dabar (2018-12-20) informacija yra skelbiama „</w:t>
            </w:r>
            <w:r w:rsidRPr="0089678E">
              <w:rPr>
                <w:color w:val="00B050"/>
                <w:spacing w:val="5"/>
                <w:szCs w:val="24"/>
              </w:rPr>
              <w:t xml:space="preserve">Administracinė informacija &gt;&gt; Planavimo dokumentai &gt;&gt; </w:t>
            </w:r>
            <w:r w:rsidRPr="0089678E">
              <w:rPr>
                <w:color w:val="00B050"/>
                <w:szCs w:val="24"/>
              </w:rPr>
              <w:t>Socialinės apsaugos srities kapitalo investicijos“</w:t>
            </w:r>
            <w:r w:rsidRPr="0089678E">
              <w:rPr>
                <w:rFonts w:eastAsia="Times New Roman"/>
                <w:color w:val="00B050"/>
                <w:szCs w:val="24"/>
                <w:lang w:eastAsia="lt-LT"/>
              </w:rPr>
              <w:t>.</w:t>
            </w:r>
          </w:p>
        </w:tc>
      </w:tr>
      <w:tr w:rsidR="00015683" w:rsidRPr="00650FFC" w:rsidTr="006B176E">
        <w:tc>
          <w:tcPr>
            <w:tcW w:w="4437" w:type="dxa"/>
          </w:tcPr>
          <w:p w:rsidR="00015683" w:rsidRPr="00650FFC" w:rsidRDefault="00015683" w:rsidP="00AD5F1E">
            <w:pPr>
              <w:pStyle w:val="ListParagraph"/>
              <w:spacing w:line="240" w:lineRule="auto"/>
              <w:ind w:left="0" w:firstLine="0"/>
              <w:contextualSpacing w:val="0"/>
            </w:pPr>
            <w:r w:rsidRPr="00650FFC">
              <w:lastRenderedPageBreak/>
              <w:t>4. Teisės aktuose apibrėžti vartojamą sąvoką „Ministerijos vadovybė“, ir/arba išsamiau nustatyti atitinkamų asmenų (pvz., ministro, viceministrų, ministerijos kanclerio ir pan.) funkcijas analizuotose veiklos srityse.</w:t>
            </w:r>
          </w:p>
        </w:tc>
        <w:tc>
          <w:tcPr>
            <w:tcW w:w="7069" w:type="dxa"/>
            <w:vAlign w:val="center"/>
          </w:tcPr>
          <w:p w:rsidR="00015683" w:rsidRPr="00650FFC" w:rsidRDefault="00015683" w:rsidP="00AD5F1E">
            <w:pPr>
              <w:rPr>
                <w:szCs w:val="24"/>
              </w:rPr>
            </w:pPr>
            <w:r w:rsidRPr="00650FFC">
              <w:rPr>
                <w:szCs w:val="24"/>
              </w:rPr>
              <w:t>Sąvokos atsisakyta.</w:t>
            </w:r>
          </w:p>
        </w:tc>
        <w:tc>
          <w:tcPr>
            <w:tcW w:w="3770" w:type="dxa"/>
            <w:vAlign w:val="center"/>
          </w:tcPr>
          <w:p w:rsidR="00015683" w:rsidRPr="00650FFC" w:rsidRDefault="00015683"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015683" w:rsidRPr="00650FFC" w:rsidRDefault="00015683" w:rsidP="00AD5F1E">
            <w:pPr>
              <w:rPr>
                <w:b/>
                <w:szCs w:val="24"/>
              </w:rPr>
            </w:pPr>
            <w:r w:rsidRPr="00650FFC">
              <w:rPr>
                <w:rFonts w:eastAsia="Times New Roman"/>
                <w:color w:val="00B050"/>
                <w:szCs w:val="24"/>
                <w:lang w:eastAsia="lt-LT"/>
              </w:rPr>
              <w:t>Pastabų ir pasiūlymų nėra.</w:t>
            </w:r>
          </w:p>
        </w:tc>
      </w:tr>
      <w:tr w:rsidR="00015683" w:rsidRPr="00650FFC" w:rsidTr="006B176E">
        <w:tc>
          <w:tcPr>
            <w:tcW w:w="4437" w:type="dxa"/>
          </w:tcPr>
          <w:p w:rsidR="00015683" w:rsidRPr="00650FFC" w:rsidRDefault="00015683" w:rsidP="00AD5F1E">
            <w:pPr>
              <w:pStyle w:val="ListParagraph"/>
              <w:spacing w:line="240" w:lineRule="auto"/>
              <w:ind w:left="0" w:firstLine="0"/>
              <w:contextualSpacing w:val="0"/>
            </w:pPr>
            <w:r w:rsidRPr="00650FFC">
              <w:t>5. Viešai skelbiamuose teisės aktuose reglamentuoti, nuo kada iki kada pateikiami investicinių projektų pasiūlymai, kada vyksta jų vertinimas ir iki kada gali būti teikiami patikslinimai, kada priimami galutiniai sprendimai ir t. t., arba informaciją šiai klausimai teikti per viešus skelbimus.</w:t>
            </w:r>
          </w:p>
        </w:tc>
        <w:tc>
          <w:tcPr>
            <w:tcW w:w="7069" w:type="dxa"/>
            <w:vAlign w:val="center"/>
          </w:tcPr>
          <w:p w:rsidR="00015683" w:rsidRPr="00650FFC" w:rsidRDefault="00015683" w:rsidP="00AD5F1E">
            <w:pPr>
              <w:jc w:val="both"/>
              <w:rPr>
                <w:szCs w:val="24"/>
              </w:rPr>
            </w:pPr>
            <w:r w:rsidRPr="00650FFC">
              <w:rPr>
                <w:szCs w:val="24"/>
              </w:rPr>
              <w:t>Tvarkos aprašo 6–7 p., 15–16 p., 23 p., 25 p., 27 p.</w:t>
            </w:r>
          </w:p>
        </w:tc>
        <w:tc>
          <w:tcPr>
            <w:tcW w:w="3770" w:type="dxa"/>
            <w:vAlign w:val="center"/>
          </w:tcPr>
          <w:p w:rsidR="00B562DD" w:rsidRPr="00650FFC" w:rsidRDefault="00B562DD"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015683" w:rsidRPr="00650FFC" w:rsidRDefault="00B562DD" w:rsidP="00AD5F1E">
            <w:pPr>
              <w:rPr>
                <w:szCs w:val="24"/>
              </w:rPr>
            </w:pPr>
            <w:r w:rsidRPr="00650FFC">
              <w:rPr>
                <w:rFonts w:eastAsia="Times New Roman"/>
                <w:color w:val="00B050"/>
                <w:szCs w:val="24"/>
                <w:lang w:eastAsia="lt-LT"/>
              </w:rPr>
              <w:t>Pastabų ir pasiūlymų nėra.</w:t>
            </w:r>
          </w:p>
        </w:tc>
      </w:tr>
      <w:tr w:rsidR="00015683" w:rsidRPr="00650FFC" w:rsidTr="006B176E">
        <w:tc>
          <w:tcPr>
            <w:tcW w:w="4437" w:type="dxa"/>
          </w:tcPr>
          <w:p w:rsidR="00015683" w:rsidRPr="00650FFC" w:rsidRDefault="00B562DD" w:rsidP="00AD5F1E">
            <w:pPr>
              <w:pStyle w:val="ListParagraph"/>
              <w:spacing w:line="240" w:lineRule="auto"/>
              <w:ind w:left="0" w:firstLine="0"/>
              <w:contextualSpacing w:val="0"/>
            </w:pPr>
            <w:r w:rsidRPr="00650FFC">
              <w:t xml:space="preserve">6. </w:t>
            </w:r>
            <w:r w:rsidR="00015683" w:rsidRPr="00650FFC">
              <w:t>Atliekant įstaigų, kurioms siūloma rengti investicijų projektus, atrankos procedūras, projektų vertinimo procesą organizuoti tokiu būdu, kad Komisijos posėdžių protokoluose būtų užfiksuoti visi vertinti projektų pasiūlymai ir konkretūs vertinimo rezultatai.</w:t>
            </w:r>
          </w:p>
        </w:tc>
        <w:tc>
          <w:tcPr>
            <w:tcW w:w="7069" w:type="dxa"/>
            <w:vAlign w:val="center"/>
          </w:tcPr>
          <w:p w:rsidR="00015683" w:rsidRPr="00650FFC" w:rsidRDefault="00B562DD" w:rsidP="00AD5F1E">
            <w:pPr>
              <w:jc w:val="both"/>
              <w:rPr>
                <w:szCs w:val="24"/>
              </w:rPr>
            </w:pPr>
            <w:r w:rsidRPr="00650FFC">
              <w:rPr>
                <w:szCs w:val="24"/>
              </w:rPr>
              <w:t>Komisijos darbo reglamento 21 p.</w:t>
            </w:r>
          </w:p>
        </w:tc>
        <w:tc>
          <w:tcPr>
            <w:tcW w:w="3770" w:type="dxa"/>
            <w:vAlign w:val="center"/>
          </w:tcPr>
          <w:p w:rsidR="00015683" w:rsidRPr="00650FFC" w:rsidRDefault="00EB2507" w:rsidP="006B176E">
            <w:pPr>
              <w:jc w:val="both"/>
              <w:rPr>
                <w:szCs w:val="24"/>
              </w:rPr>
            </w:pPr>
            <w:r>
              <w:rPr>
                <w:color w:val="000000" w:themeColor="text1"/>
                <w:szCs w:val="24"/>
              </w:rPr>
              <w:t>Pasiūlymas laikytinas įgyvendintas iš dalies, kadangi Ministerijos interneto svetainėje skelbiamos tik protokolų santraukos, o patys protokolai ne.</w:t>
            </w:r>
          </w:p>
        </w:tc>
      </w:tr>
      <w:tr w:rsidR="00015683" w:rsidRPr="00650FFC" w:rsidTr="006B176E">
        <w:tc>
          <w:tcPr>
            <w:tcW w:w="4437" w:type="dxa"/>
          </w:tcPr>
          <w:p w:rsidR="00015683" w:rsidRPr="00650FFC" w:rsidRDefault="00CC147F" w:rsidP="00AD5F1E">
            <w:pPr>
              <w:pStyle w:val="ListParagraph"/>
              <w:spacing w:line="240" w:lineRule="auto"/>
              <w:ind w:left="0" w:firstLine="0"/>
              <w:contextualSpacing w:val="0"/>
            </w:pPr>
            <w:r w:rsidRPr="00650FFC">
              <w:t xml:space="preserve">7. </w:t>
            </w:r>
            <w:r w:rsidR="00015683" w:rsidRPr="00650FFC">
              <w:t>Ministerijos teisės aktuose aiškiai ir nedviprasmiškai reglamentuoti, kas nustato (Vyriausybė, ministras ar pan.) įstaigų, kurioms siūloma rengti investicijų projektus, atrankos prioritetus, kas lemia projekto pasiūlymo aktualumą, tikslingumą ir ekonomiškumą, kad projektų pasiūlymų atrankai turi įtakos ne tik kiekybiniai rodikliai, bet ir kokybiniai.</w:t>
            </w:r>
          </w:p>
        </w:tc>
        <w:tc>
          <w:tcPr>
            <w:tcW w:w="7069" w:type="dxa"/>
            <w:vAlign w:val="center"/>
          </w:tcPr>
          <w:p w:rsidR="00CC147F" w:rsidRPr="00650FFC" w:rsidRDefault="00CC147F" w:rsidP="00AD5F1E">
            <w:pPr>
              <w:jc w:val="both"/>
              <w:rPr>
                <w:szCs w:val="24"/>
              </w:rPr>
            </w:pPr>
            <w:r w:rsidRPr="00650FFC">
              <w:rPr>
                <w:szCs w:val="24"/>
              </w:rPr>
              <w:t>Tvarkos aprašo 4–5 p.</w:t>
            </w:r>
          </w:p>
          <w:p w:rsidR="00015683" w:rsidRPr="00650FFC" w:rsidRDefault="00015683" w:rsidP="00AD5F1E">
            <w:pPr>
              <w:jc w:val="both"/>
              <w:rPr>
                <w:szCs w:val="24"/>
              </w:rPr>
            </w:pPr>
          </w:p>
        </w:tc>
        <w:tc>
          <w:tcPr>
            <w:tcW w:w="3770" w:type="dxa"/>
            <w:vAlign w:val="center"/>
          </w:tcPr>
          <w:p w:rsidR="004D55BC" w:rsidRPr="00650FFC" w:rsidRDefault="004D55BC"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015683" w:rsidRPr="00650FFC" w:rsidRDefault="004D55BC" w:rsidP="00AD5F1E">
            <w:pPr>
              <w:rPr>
                <w:b/>
                <w:szCs w:val="24"/>
              </w:rPr>
            </w:pPr>
            <w:r w:rsidRPr="00650FFC">
              <w:rPr>
                <w:rFonts w:eastAsia="Times New Roman"/>
                <w:color w:val="00B050"/>
                <w:szCs w:val="24"/>
                <w:lang w:eastAsia="lt-LT"/>
              </w:rPr>
              <w:t>Pastabų ir pasiūlymų nėra.</w:t>
            </w:r>
          </w:p>
        </w:tc>
      </w:tr>
      <w:tr w:rsidR="004D55BC" w:rsidRPr="00650FFC" w:rsidTr="006B176E">
        <w:trPr>
          <w:trHeight w:val="3864"/>
        </w:trPr>
        <w:tc>
          <w:tcPr>
            <w:tcW w:w="4437" w:type="dxa"/>
          </w:tcPr>
          <w:p w:rsidR="004D55BC" w:rsidRPr="00650FFC" w:rsidRDefault="004D55BC" w:rsidP="00AD5F1E">
            <w:pPr>
              <w:pStyle w:val="ListParagraph"/>
              <w:spacing w:line="240" w:lineRule="auto"/>
              <w:ind w:left="0" w:firstLine="0"/>
              <w:contextualSpacing w:val="0"/>
            </w:pPr>
            <w:r w:rsidRPr="00650FFC">
              <w:lastRenderedPageBreak/>
              <w:t>8. Ministerijos arba Socialinių paslaugų priežiūros departamento teisės aktais detalizuoti Departamento veiklą atrenkant socialinių paslaugų įstaigų valstybės investicijų projektus ir nustatyti:</w:t>
            </w:r>
          </w:p>
          <w:p w:rsidR="004D55BC" w:rsidRPr="00650FFC" w:rsidRDefault="004D55BC" w:rsidP="00AD5F1E">
            <w:pPr>
              <w:pStyle w:val="ListParagraph"/>
              <w:spacing w:line="240" w:lineRule="auto"/>
              <w:ind w:left="0" w:firstLine="0"/>
              <w:contextualSpacing w:val="0"/>
            </w:pPr>
            <w:r w:rsidRPr="00650FFC">
              <w:t>8.1. terminus, per kuriuos vertinami projektų pasiūlymai ir patys projektai;</w:t>
            </w:r>
          </w:p>
          <w:p w:rsidR="004D55BC" w:rsidRPr="00650FFC" w:rsidRDefault="004D55BC" w:rsidP="00AD5F1E">
            <w:pPr>
              <w:pStyle w:val="ListParagraph"/>
              <w:spacing w:line="240" w:lineRule="auto"/>
              <w:ind w:left="0" w:firstLine="0"/>
              <w:contextualSpacing w:val="0"/>
            </w:pPr>
            <w:r w:rsidRPr="00650FFC">
              <w:rPr>
                <w:color w:val="000000"/>
              </w:rPr>
              <w:t>8.2. projektų atitikties Investicijų projektų rengimui taikomų reikalavimų aprašui, patvirtintam Lietuvos Respublikos finansų ministro 2001 m. liepos 4 d. įsakymu Nr. 201, vertinimo tvarką;</w:t>
            </w:r>
          </w:p>
          <w:p w:rsidR="004D55BC" w:rsidRPr="00650FFC" w:rsidRDefault="004D55BC" w:rsidP="00AD5F1E">
            <w:pPr>
              <w:pStyle w:val="ListParagraph"/>
              <w:spacing w:line="240" w:lineRule="auto"/>
              <w:ind w:left="0" w:firstLine="0"/>
              <w:contextualSpacing w:val="0"/>
            </w:pPr>
            <w:r w:rsidRPr="00650FFC">
              <w:t>8.3. projektų trūkumų šalinimo tvarką;</w:t>
            </w:r>
          </w:p>
          <w:p w:rsidR="004D55BC" w:rsidRPr="00650FFC" w:rsidRDefault="004D55BC" w:rsidP="00AD5F1E">
            <w:pPr>
              <w:pStyle w:val="ListParagraph"/>
              <w:spacing w:line="240" w:lineRule="auto"/>
              <w:ind w:left="0" w:firstLine="0"/>
              <w:contextualSpacing w:val="0"/>
              <w:rPr>
                <w:highlight w:val="yellow"/>
              </w:rPr>
            </w:pPr>
            <w:r w:rsidRPr="00650FFC">
              <w:t xml:space="preserve">8.4. nustatytų projektų trūkumų ir/arba trūkumų nepašalinimo pasekmes ir kitus aktualius klausimus. </w:t>
            </w:r>
          </w:p>
        </w:tc>
        <w:tc>
          <w:tcPr>
            <w:tcW w:w="7069" w:type="dxa"/>
            <w:vAlign w:val="center"/>
          </w:tcPr>
          <w:p w:rsidR="004D55BC" w:rsidRPr="00650FFC" w:rsidRDefault="00313780" w:rsidP="00AD5F1E">
            <w:pPr>
              <w:jc w:val="both"/>
              <w:rPr>
                <w:color w:val="FF0000"/>
                <w:szCs w:val="24"/>
              </w:rPr>
            </w:pPr>
            <w:r w:rsidRPr="00650FFC">
              <w:rPr>
                <w:szCs w:val="24"/>
              </w:rPr>
              <w:t>Tvarkos aprašo III skyrius.</w:t>
            </w:r>
          </w:p>
        </w:tc>
        <w:tc>
          <w:tcPr>
            <w:tcW w:w="3770" w:type="dxa"/>
            <w:vAlign w:val="center"/>
          </w:tcPr>
          <w:p w:rsidR="00313780" w:rsidRPr="00650FFC" w:rsidRDefault="00313780"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4D55BC" w:rsidRPr="00650FFC" w:rsidRDefault="00313780" w:rsidP="00AD5F1E">
            <w:pPr>
              <w:rPr>
                <w:b/>
                <w:szCs w:val="24"/>
              </w:rPr>
            </w:pPr>
            <w:r w:rsidRPr="00650FFC">
              <w:rPr>
                <w:rFonts w:eastAsia="Times New Roman"/>
                <w:color w:val="00B050"/>
                <w:szCs w:val="24"/>
                <w:lang w:eastAsia="lt-LT"/>
              </w:rPr>
              <w:t>Pastabų ir pasiūlymų nėra.</w:t>
            </w:r>
          </w:p>
        </w:tc>
      </w:tr>
      <w:tr w:rsidR="00015683" w:rsidRPr="00650FFC" w:rsidTr="006B176E">
        <w:tc>
          <w:tcPr>
            <w:tcW w:w="4437" w:type="dxa"/>
          </w:tcPr>
          <w:p w:rsidR="00015683" w:rsidRPr="00650FFC" w:rsidRDefault="006134B2" w:rsidP="00AD5F1E">
            <w:pPr>
              <w:pStyle w:val="ListParagraph"/>
              <w:spacing w:line="240" w:lineRule="auto"/>
              <w:ind w:left="0" w:firstLine="0"/>
              <w:contextualSpacing w:val="0"/>
            </w:pPr>
            <w:r w:rsidRPr="00650FFC">
              <w:t xml:space="preserve">9. </w:t>
            </w:r>
            <w:r w:rsidR="00015683" w:rsidRPr="00650FFC">
              <w:t>Teisės aktuose aiškiau formuluoti socialinių paslaugų įstaigų parengtų valstybės investicijų projektų atrankos kriterijus ir įtraukti papildomų kiekybinių, kokybinių bei efektyvumo kriterijų.</w:t>
            </w:r>
          </w:p>
        </w:tc>
        <w:tc>
          <w:tcPr>
            <w:tcW w:w="7069" w:type="dxa"/>
            <w:vAlign w:val="center"/>
          </w:tcPr>
          <w:p w:rsidR="00015683" w:rsidRPr="00650FFC" w:rsidRDefault="006134B2" w:rsidP="00AD5F1E">
            <w:pPr>
              <w:jc w:val="both"/>
              <w:rPr>
                <w:i/>
                <w:szCs w:val="24"/>
              </w:rPr>
            </w:pPr>
            <w:r w:rsidRPr="00650FFC">
              <w:rPr>
                <w:szCs w:val="24"/>
              </w:rPr>
              <w:t>Tvarkos aprašo 2 priedas.</w:t>
            </w:r>
          </w:p>
        </w:tc>
        <w:tc>
          <w:tcPr>
            <w:tcW w:w="3770" w:type="dxa"/>
            <w:vAlign w:val="center"/>
          </w:tcPr>
          <w:p w:rsidR="00BA5E43" w:rsidRPr="00650FFC" w:rsidRDefault="00BA5E43"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015683" w:rsidRPr="00650FFC" w:rsidRDefault="00BA5E43" w:rsidP="00AD5F1E">
            <w:pPr>
              <w:rPr>
                <w:szCs w:val="24"/>
              </w:rPr>
            </w:pPr>
            <w:r w:rsidRPr="00650FFC">
              <w:rPr>
                <w:rFonts w:eastAsia="Times New Roman"/>
                <w:color w:val="00B050"/>
                <w:szCs w:val="24"/>
                <w:lang w:eastAsia="lt-LT"/>
              </w:rPr>
              <w:t>Pastabų ir pasiūlymų nėra.</w:t>
            </w:r>
          </w:p>
        </w:tc>
      </w:tr>
      <w:tr w:rsidR="009259D5" w:rsidRPr="00650FFC" w:rsidTr="006B176E">
        <w:tc>
          <w:tcPr>
            <w:tcW w:w="4437" w:type="dxa"/>
          </w:tcPr>
          <w:p w:rsidR="009259D5" w:rsidRPr="00650FFC" w:rsidRDefault="009259D5" w:rsidP="00AD5F1E">
            <w:pPr>
              <w:pStyle w:val="ListParagraph"/>
              <w:spacing w:line="240" w:lineRule="auto"/>
              <w:ind w:left="0" w:firstLine="0"/>
              <w:contextualSpacing w:val="0"/>
            </w:pPr>
            <w:r w:rsidRPr="00650FFC">
              <w:t>10. Teisės aktais nustatyti aiškias ir viešais skelbiamas taisyklės, pagal kurias diferencijuotai vertinamas socialinių paslaugų įstaigų parengtu valstybės investicijų projektų atitikimas kiekvienas atrankos kriterijui, o kiekvieno projekto atitikimą kriterijams ir atitikimo diferenciaciją įforminti raštiškai, pavyzdžiui posėdžio protokole ar vertimo pažymoje (lentelėje).</w:t>
            </w:r>
          </w:p>
        </w:tc>
        <w:tc>
          <w:tcPr>
            <w:tcW w:w="7069" w:type="dxa"/>
            <w:vAlign w:val="center"/>
          </w:tcPr>
          <w:p w:rsidR="009259D5" w:rsidRPr="00650FFC" w:rsidRDefault="009259D5" w:rsidP="00AD5F1E">
            <w:pPr>
              <w:rPr>
                <w:szCs w:val="24"/>
              </w:rPr>
            </w:pPr>
            <w:r w:rsidRPr="00650FFC">
              <w:rPr>
                <w:szCs w:val="24"/>
              </w:rPr>
              <w:t>Tvarkos aprašo 3 priedas.</w:t>
            </w:r>
          </w:p>
        </w:tc>
        <w:tc>
          <w:tcPr>
            <w:tcW w:w="3770" w:type="dxa"/>
            <w:vAlign w:val="center"/>
          </w:tcPr>
          <w:p w:rsidR="009259D5" w:rsidRPr="00650FFC" w:rsidRDefault="009259D5"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9259D5" w:rsidRPr="00650FFC" w:rsidRDefault="009259D5" w:rsidP="00AD5F1E">
            <w:pPr>
              <w:rPr>
                <w:szCs w:val="24"/>
              </w:rPr>
            </w:pPr>
            <w:r w:rsidRPr="00650FFC">
              <w:rPr>
                <w:rFonts w:eastAsia="Times New Roman"/>
                <w:color w:val="00B050"/>
                <w:szCs w:val="24"/>
                <w:lang w:eastAsia="lt-LT"/>
              </w:rPr>
              <w:t>Pastabų ir pasiūlymų nėra.</w:t>
            </w:r>
          </w:p>
        </w:tc>
      </w:tr>
      <w:tr w:rsidR="006B176E" w:rsidRPr="00650FFC" w:rsidTr="006B176E">
        <w:tc>
          <w:tcPr>
            <w:tcW w:w="4437" w:type="dxa"/>
          </w:tcPr>
          <w:p w:rsidR="006B176E" w:rsidRPr="00650FFC" w:rsidRDefault="006B176E" w:rsidP="006B176E">
            <w:pPr>
              <w:pStyle w:val="ListParagraph"/>
              <w:spacing w:line="240" w:lineRule="auto"/>
              <w:ind w:left="0" w:firstLine="0"/>
              <w:contextualSpacing w:val="0"/>
            </w:pPr>
            <w:r w:rsidRPr="00650FFC">
              <w:t>11. Visais atvejais Įstaigų projektų atrankos komisijos protokoluose fiksuoti visų priimamų sprendimų motyvus, pateikiamus paaiškinimus, išsakytas pastabas, kiekvieno nario atskirąją nuomonę ir kitą skaidriai Komisijos veiklai reikšmingą informaciją.</w:t>
            </w:r>
          </w:p>
        </w:tc>
        <w:tc>
          <w:tcPr>
            <w:tcW w:w="7069" w:type="dxa"/>
            <w:vAlign w:val="center"/>
          </w:tcPr>
          <w:p w:rsidR="006B176E" w:rsidRPr="00650FFC" w:rsidRDefault="006B176E" w:rsidP="006B176E">
            <w:pPr>
              <w:jc w:val="both"/>
              <w:rPr>
                <w:i/>
                <w:szCs w:val="24"/>
              </w:rPr>
            </w:pPr>
            <w:r w:rsidRPr="00650FFC">
              <w:rPr>
                <w:szCs w:val="24"/>
              </w:rPr>
              <w:t>Komisijos darbo reglamento 21 p.</w:t>
            </w:r>
          </w:p>
        </w:tc>
        <w:tc>
          <w:tcPr>
            <w:tcW w:w="3770" w:type="dxa"/>
            <w:vAlign w:val="center"/>
          </w:tcPr>
          <w:p w:rsidR="006B176E" w:rsidRPr="00650FFC" w:rsidRDefault="006B176E" w:rsidP="006B176E">
            <w:pPr>
              <w:jc w:val="both"/>
              <w:rPr>
                <w:szCs w:val="24"/>
              </w:rPr>
            </w:pPr>
            <w:r>
              <w:rPr>
                <w:color w:val="000000" w:themeColor="text1"/>
                <w:szCs w:val="24"/>
              </w:rPr>
              <w:t>Pasiūlymas laikytinas įgyvendintas iš dalies, kadangi Ministerijos interneto svetainėje skelbiamos tik protokolų santraukos, o patys protokolai ne.</w:t>
            </w:r>
          </w:p>
        </w:tc>
      </w:tr>
      <w:tr w:rsidR="00B83F39" w:rsidRPr="00650FFC" w:rsidTr="006B176E">
        <w:tc>
          <w:tcPr>
            <w:tcW w:w="4437" w:type="dxa"/>
          </w:tcPr>
          <w:p w:rsidR="00B83F39" w:rsidRPr="00650FFC" w:rsidRDefault="00B83F39" w:rsidP="00AD5F1E">
            <w:pPr>
              <w:pStyle w:val="ListParagraph"/>
              <w:spacing w:line="240" w:lineRule="auto"/>
              <w:ind w:left="0" w:firstLine="0"/>
              <w:contextualSpacing w:val="0"/>
              <w:rPr>
                <w:color w:val="000000"/>
              </w:rPr>
            </w:pPr>
            <w:r w:rsidRPr="00650FFC">
              <w:lastRenderedPageBreak/>
              <w:t xml:space="preserve">12. Aiškiau apibrėžti </w:t>
            </w:r>
            <w:r w:rsidRPr="00650FFC">
              <w:rPr>
                <w:bCs/>
              </w:rPr>
              <w:t>socialinių paslaugų įstaigų investicijų projektų finansavimo</w:t>
            </w:r>
            <w:r w:rsidRPr="00650FFC">
              <w:t xml:space="preserve"> sutarčių dalykus ir į </w:t>
            </w:r>
            <w:r w:rsidRPr="00650FFC">
              <w:rPr>
                <w:bCs/>
              </w:rPr>
              <w:t>sutartis</w:t>
            </w:r>
            <w:r w:rsidRPr="00650FFC">
              <w:rPr>
                <w:color w:val="000000"/>
              </w:rPr>
              <w:t xml:space="preserve"> įtraukti daugiau duomenų apie finansuojamus valstybės investicijų projektus ir (arba) šiuos projektus į sutartis inkorporuoti kaip priedus.</w:t>
            </w:r>
          </w:p>
        </w:tc>
        <w:tc>
          <w:tcPr>
            <w:tcW w:w="7069" w:type="dxa"/>
            <w:vAlign w:val="center"/>
          </w:tcPr>
          <w:p w:rsidR="00B83F39" w:rsidRPr="00650FFC" w:rsidRDefault="00B83F39" w:rsidP="00AD5F1E">
            <w:pPr>
              <w:jc w:val="both"/>
              <w:rPr>
                <w:szCs w:val="24"/>
              </w:rPr>
            </w:pPr>
            <w:r w:rsidRPr="00650FFC">
              <w:rPr>
                <w:szCs w:val="24"/>
              </w:rPr>
              <w:t>Socialinių paslaugų priežiūros departamentas prie Socialinės apsaugos ir darbo ministerijos pakeitė socialinių paslaugų įstaigų investicijų projektų finansavimo tipinę sutartį (pridedama).</w:t>
            </w:r>
          </w:p>
        </w:tc>
        <w:tc>
          <w:tcPr>
            <w:tcW w:w="3770" w:type="dxa"/>
            <w:vAlign w:val="center"/>
          </w:tcPr>
          <w:p w:rsidR="00B83F39" w:rsidRPr="00650FFC" w:rsidRDefault="00B83F39"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B83F39" w:rsidRPr="00650FFC" w:rsidRDefault="00B83F39" w:rsidP="00AD5F1E">
            <w:pPr>
              <w:rPr>
                <w:szCs w:val="24"/>
              </w:rPr>
            </w:pPr>
            <w:r w:rsidRPr="00650FFC">
              <w:rPr>
                <w:rFonts w:eastAsia="Times New Roman"/>
                <w:color w:val="00B050"/>
                <w:szCs w:val="24"/>
                <w:lang w:eastAsia="lt-LT"/>
              </w:rPr>
              <w:t>Pastabų ir pasiūlymų nėra.</w:t>
            </w:r>
          </w:p>
        </w:tc>
      </w:tr>
      <w:tr w:rsidR="00B83F39" w:rsidRPr="00650FFC" w:rsidTr="006B176E">
        <w:tc>
          <w:tcPr>
            <w:tcW w:w="4437" w:type="dxa"/>
          </w:tcPr>
          <w:p w:rsidR="00B83F39" w:rsidRPr="00650FFC" w:rsidRDefault="008E04C2" w:rsidP="00AD5F1E">
            <w:pPr>
              <w:pStyle w:val="ListParagraph"/>
              <w:spacing w:line="240" w:lineRule="auto"/>
              <w:ind w:left="0" w:firstLine="0"/>
              <w:contextualSpacing w:val="0"/>
              <w:rPr>
                <w:color w:val="000000"/>
              </w:rPr>
            </w:pPr>
            <w:r w:rsidRPr="00650FFC">
              <w:rPr>
                <w:bCs/>
              </w:rPr>
              <w:t xml:space="preserve">13. </w:t>
            </w:r>
            <w:r w:rsidR="00B83F39" w:rsidRPr="00650FFC">
              <w:rPr>
                <w:bCs/>
              </w:rPr>
              <w:t>Socialinių paslaugų įstaigų investicijų projektų finansavimo sutartyse nustatyti, kada galimas vienašališkas sutarties nutraukimas prieš terminą, ir kokias pasekmes tai sukelia, arba šiuos klausimus reglamentuoti teisės aktuose, arba apskritai panaikinti tokia galimybę.</w:t>
            </w:r>
          </w:p>
        </w:tc>
        <w:tc>
          <w:tcPr>
            <w:tcW w:w="7069" w:type="dxa"/>
            <w:vAlign w:val="center"/>
          </w:tcPr>
          <w:p w:rsidR="00B83F39" w:rsidRPr="00650FFC" w:rsidRDefault="008E04C2" w:rsidP="00AD5F1E">
            <w:pPr>
              <w:jc w:val="both"/>
              <w:rPr>
                <w:szCs w:val="24"/>
              </w:rPr>
            </w:pPr>
            <w:r w:rsidRPr="00650FFC">
              <w:rPr>
                <w:szCs w:val="24"/>
              </w:rPr>
              <w:t>Socialinių paslaugų įstaigų investicijų projektų finansavimo sutarties tipinė forma (pridedama).</w:t>
            </w:r>
          </w:p>
        </w:tc>
        <w:tc>
          <w:tcPr>
            <w:tcW w:w="3770" w:type="dxa"/>
            <w:vAlign w:val="center"/>
          </w:tcPr>
          <w:p w:rsidR="00E760C4" w:rsidRPr="00650FFC" w:rsidRDefault="00E760C4"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B83F39" w:rsidRPr="00650FFC" w:rsidRDefault="00E760C4" w:rsidP="00AD5F1E">
            <w:pPr>
              <w:rPr>
                <w:szCs w:val="24"/>
              </w:rPr>
            </w:pPr>
            <w:r w:rsidRPr="00650FFC">
              <w:rPr>
                <w:rFonts w:eastAsia="Times New Roman"/>
                <w:color w:val="00B050"/>
                <w:szCs w:val="24"/>
                <w:lang w:eastAsia="lt-LT"/>
              </w:rPr>
              <w:t>Pastabų ir pasiūlymų nėra.</w:t>
            </w:r>
          </w:p>
        </w:tc>
      </w:tr>
      <w:tr w:rsidR="00F21295" w:rsidRPr="00650FFC" w:rsidTr="006B176E">
        <w:trPr>
          <w:trHeight w:val="6071"/>
        </w:trPr>
        <w:tc>
          <w:tcPr>
            <w:tcW w:w="4437" w:type="dxa"/>
          </w:tcPr>
          <w:p w:rsidR="00F21295" w:rsidRPr="00650FFC" w:rsidRDefault="00F21295" w:rsidP="00AD5F1E">
            <w:pPr>
              <w:pStyle w:val="ListParagraph"/>
              <w:spacing w:line="240" w:lineRule="auto"/>
              <w:ind w:left="0" w:firstLine="0"/>
              <w:contextualSpacing w:val="0"/>
            </w:pPr>
            <w:r w:rsidRPr="00650FFC">
              <w:t>14. Svarstyti galimybę projektų įgyvendinimo kontrolės mechanizmą suskirstyti į šias išsamiai reglamentuotas procedūras: projektų vykdytojų vykdomų pirkimų priežiūra, stebėsena ar kitas mechanizmas, leidžiantis Ministerijai ar Socialinių paslaugų priežiūros departamentui susipažinti su šia projektų vykdytojų veiklos sritimi; projektų patikrų vietoje vykdymas; finansavimo sąlygų keitimo ir nutraukimo vykdymas; projektų rizikos valdymas; ataskaitų patikra ir tvirtinimas; projektų rodiklių stebėsena; projektų priežiūra po įgyvendinimo, ir be kita ko, Ministerijos arba Socialinių paslaugų priežiūros departamento teisės aktais nustatyti:</w:t>
            </w:r>
          </w:p>
          <w:p w:rsidR="00F21295" w:rsidRPr="00650FFC" w:rsidRDefault="00F21295" w:rsidP="00AD5F1E">
            <w:pPr>
              <w:pStyle w:val="ListParagraph"/>
              <w:spacing w:line="240" w:lineRule="auto"/>
              <w:ind w:left="0" w:firstLine="0"/>
              <w:contextualSpacing w:val="0"/>
            </w:pPr>
            <w:r w:rsidRPr="00650FFC">
              <w:t>14.1. socialinių paslaugų įstaigų atrankos planiniams patikrinimams principus;</w:t>
            </w:r>
          </w:p>
          <w:p w:rsidR="00F21295" w:rsidRPr="00650FFC" w:rsidRDefault="00F21295" w:rsidP="00AD5F1E">
            <w:pPr>
              <w:jc w:val="both"/>
              <w:rPr>
                <w:szCs w:val="24"/>
              </w:rPr>
            </w:pPr>
            <w:r w:rsidRPr="00650FFC">
              <w:rPr>
                <w:szCs w:val="24"/>
              </w:rPr>
              <w:t>14.2. neplaninių socialinių paslaugų įstaigų patikrinimų sąlygas;</w:t>
            </w:r>
          </w:p>
          <w:p w:rsidR="00F21295" w:rsidRPr="00650FFC" w:rsidRDefault="00F21295" w:rsidP="00AD5F1E">
            <w:pPr>
              <w:jc w:val="both"/>
              <w:rPr>
                <w:szCs w:val="24"/>
              </w:rPr>
            </w:pPr>
            <w:r w:rsidRPr="00650FFC">
              <w:rPr>
                <w:szCs w:val="24"/>
              </w:rPr>
              <w:t>14.3. socialinių paslaugų įstaigų patikrinimų atlikimų tvarką, terminus ir pan.;</w:t>
            </w:r>
          </w:p>
          <w:p w:rsidR="00F21295" w:rsidRPr="00650FFC" w:rsidRDefault="00F21295" w:rsidP="00AD5F1E">
            <w:pPr>
              <w:jc w:val="both"/>
              <w:rPr>
                <w:szCs w:val="24"/>
              </w:rPr>
            </w:pPr>
            <w:r w:rsidRPr="00650FFC">
              <w:rPr>
                <w:szCs w:val="24"/>
              </w:rPr>
              <w:lastRenderedPageBreak/>
              <w:t>14.4. kaip įforminami projektų patikrinimai projektų įgyvendinimo vietoje;</w:t>
            </w:r>
          </w:p>
          <w:p w:rsidR="00F21295" w:rsidRPr="00650FFC" w:rsidRDefault="00F21295" w:rsidP="00AD5F1E">
            <w:pPr>
              <w:jc w:val="both"/>
              <w:rPr>
                <w:szCs w:val="24"/>
              </w:rPr>
            </w:pPr>
            <w:r w:rsidRPr="00650FFC">
              <w:rPr>
                <w:szCs w:val="24"/>
              </w:rPr>
              <w:t>14.5. „keturių akių“ principo įgyvendinimą.</w:t>
            </w:r>
          </w:p>
        </w:tc>
        <w:tc>
          <w:tcPr>
            <w:tcW w:w="7069" w:type="dxa"/>
            <w:vAlign w:val="center"/>
          </w:tcPr>
          <w:p w:rsidR="00F21295" w:rsidRPr="00650FFC" w:rsidRDefault="00F21295" w:rsidP="00AD5F1E">
            <w:pPr>
              <w:jc w:val="both"/>
              <w:rPr>
                <w:szCs w:val="24"/>
              </w:rPr>
            </w:pPr>
            <w:r w:rsidRPr="00650FFC">
              <w:rPr>
                <w:szCs w:val="24"/>
              </w:rPr>
              <w:lastRenderedPageBreak/>
              <w:t>Socialinių paslaugų priežiūros departamento prie Socialinės apsaugos ir darbo ministerijos direktoriaus 2017 m. rugpjūčio 22 d. įsakymas Nr. V1-359 „Dėl socialinių paslaugų įstaigų investicijų projektų vertinimo tvarkos aprašo patvirtinimo“ (pridedama).</w:t>
            </w:r>
          </w:p>
        </w:tc>
        <w:tc>
          <w:tcPr>
            <w:tcW w:w="3770" w:type="dxa"/>
            <w:vAlign w:val="center"/>
          </w:tcPr>
          <w:p w:rsidR="00F21295" w:rsidRPr="00650FFC" w:rsidRDefault="00F21295" w:rsidP="00AD5F1E">
            <w:pPr>
              <w:jc w:val="both"/>
              <w:rPr>
                <w:rFonts w:eastAsia="Times New Roman"/>
                <w:color w:val="00B050"/>
                <w:szCs w:val="24"/>
                <w:lang w:eastAsia="lt-LT"/>
              </w:rPr>
            </w:pPr>
            <w:r w:rsidRPr="00650FFC">
              <w:rPr>
                <w:rFonts w:eastAsia="Times New Roman"/>
                <w:color w:val="00B050"/>
                <w:szCs w:val="24"/>
                <w:lang w:eastAsia="lt-LT"/>
              </w:rPr>
              <w:t>Pasiūlymas laikytinas įgyvendintu.</w:t>
            </w:r>
          </w:p>
          <w:p w:rsidR="00F21295" w:rsidRPr="00650FFC" w:rsidRDefault="00F21295" w:rsidP="00AD5F1E">
            <w:pPr>
              <w:rPr>
                <w:szCs w:val="24"/>
              </w:rPr>
            </w:pPr>
            <w:r w:rsidRPr="00650FFC">
              <w:rPr>
                <w:rFonts w:eastAsia="Times New Roman"/>
                <w:color w:val="00B050"/>
                <w:szCs w:val="24"/>
                <w:lang w:eastAsia="lt-LT"/>
              </w:rPr>
              <w:t>Pastabų ir pasiūlymų nėra.</w:t>
            </w:r>
          </w:p>
        </w:tc>
      </w:tr>
      <w:tr w:rsidR="00B83F39" w:rsidRPr="00650FFC" w:rsidTr="006B176E">
        <w:tc>
          <w:tcPr>
            <w:tcW w:w="4437" w:type="dxa"/>
            <w:vAlign w:val="center"/>
          </w:tcPr>
          <w:p w:rsidR="00B83F39" w:rsidRPr="00650FFC" w:rsidRDefault="00F21295" w:rsidP="00AD5F1E">
            <w:pPr>
              <w:pStyle w:val="ListParagraph"/>
              <w:spacing w:line="240" w:lineRule="auto"/>
              <w:ind w:left="0" w:firstLine="0"/>
              <w:contextualSpacing w:val="0"/>
            </w:pPr>
            <w:r w:rsidRPr="00650FFC">
              <w:lastRenderedPageBreak/>
              <w:t xml:space="preserve">15. </w:t>
            </w:r>
            <w:r w:rsidR="00B83F39" w:rsidRPr="00650FFC">
              <w:t>Imtis priemonių, kad kaip įmanoma griežčiau būtų atskirtos valstybės investicijų projektų atrankos ir jų vykdymo kontrolės funkcijos.</w:t>
            </w:r>
          </w:p>
        </w:tc>
        <w:tc>
          <w:tcPr>
            <w:tcW w:w="7069" w:type="dxa"/>
            <w:vAlign w:val="center"/>
          </w:tcPr>
          <w:p w:rsidR="00AD5F1E" w:rsidRPr="00AD5F1E" w:rsidRDefault="00AD5F1E" w:rsidP="00AD5F1E">
            <w:pPr>
              <w:jc w:val="both"/>
              <w:rPr>
                <w:i/>
                <w:szCs w:val="24"/>
              </w:rPr>
            </w:pPr>
            <w:r w:rsidRPr="00AD5F1E">
              <w:rPr>
                <w:i/>
                <w:szCs w:val="24"/>
              </w:rPr>
              <w:t>2017-11-23</w:t>
            </w:r>
          </w:p>
          <w:p w:rsidR="00B83F39" w:rsidRPr="00650FFC" w:rsidRDefault="005F50F9" w:rsidP="00AD5F1E">
            <w:pPr>
              <w:jc w:val="both"/>
              <w:rPr>
                <w:szCs w:val="24"/>
              </w:rPr>
            </w:pPr>
            <w:r w:rsidRPr="00650FFC">
              <w:rPr>
                <w:szCs w:val="24"/>
              </w:rPr>
              <w:t>Socialinių paslaugų priežiūros departamentas prie Socialinės apsaugos ir darbo ministerijos imsis priemonių atskirti valstybės investicijų projektų atrankos ir jų vykdymo kontrolės funkcijas. Įsipareigojimas bus atliktas gavus papildomus žmogiškuosius resursus.</w:t>
            </w:r>
          </w:p>
          <w:p w:rsidR="00650FFC" w:rsidRPr="00650FFC" w:rsidRDefault="00650FFC" w:rsidP="00AD5F1E">
            <w:pPr>
              <w:jc w:val="both"/>
              <w:rPr>
                <w:szCs w:val="24"/>
              </w:rPr>
            </w:pPr>
          </w:p>
          <w:p w:rsidR="00650FFC" w:rsidRPr="00650FFC" w:rsidRDefault="00650FFC" w:rsidP="00AD5F1E">
            <w:pPr>
              <w:jc w:val="both"/>
              <w:rPr>
                <w:i/>
                <w:szCs w:val="24"/>
              </w:rPr>
            </w:pPr>
            <w:r w:rsidRPr="00650FFC">
              <w:rPr>
                <w:i/>
                <w:szCs w:val="24"/>
              </w:rPr>
              <w:t>2018-12-07</w:t>
            </w:r>
          </w:p>
          <w:p w:rsidR="00650FFC" w:rsidRPr="00650FFC" w:rsidRDefault="00650FFC" w:rsidP="00AD5F1E">
            <w:pPr>
              <w:jc w:val="both"/>
              <w:rPr>
                <w:szCs w:val="24"/>
              </w:rPr>
            </w:pPr>
            <w:r w:rsidRPr="00650FFC">
              <w:rPr>
                <w:color w:val="000000"/>
                <w:szCs w:val="24"/>
                <w:lang w:eastAsia="lt-LT" w:bidi="lt-LT"/>
              </w:rPr>
              <w:t>Taip pat pranešame, kad išvadoje pateiktas pasiūlymas Socialinių paslaugų priežiūros departamentui prie Socialinės apsaugos ir darbo ministerijos Nr. 15 „</w:t>
            </w:r>
            <w:r w:rsidRPr="00650FFC">
              <w:rPr>
                <w:rStyle w:val="Bodytext2Italic"/>
                <w:rFonts w:eastAsia="Calibri"/>
              </w:rPr>
              <w:t>Imtis priemonių</w:t>
            </w:r>
            <w:r w:rsidRPr="00650FFC">
              <w:rPr>
                <w:color w:val="000000"/>
                <w:szCs w:val="24"/>
                <w:lang w:eastAsia="lt-LT" w:bidi="lt-LT"/>
              </w:rPr>
              <w:t xml:space="preserve">, </w:t>
            </w:r>
            <w:r w:rsidRPr="00650FFC">
              <w:rPr>
                <w:rStyle w:val="Bodytext2Italic"/>
                <w:rFonts w:eastAsia="Calibri"/>
              </w:rPr>
              <w:t>kad kaip įmanoma griežčiau būtų atskirtos valstybės investicijų projektų atrankos ir jų vykdymo kontrolės funkcijos</w:t>
            </w:r>
            <w:r w:rsidRPr="00650FFC">
              <w:rPr>
                <w:color w:val="000000"/>
                <w:szCs w:val="24"/>
                <w:lang w:eastAsia="lt-LT" w:bidi="lt-LT"/>
              </w:rPr>
              <w:t>“ kol kas neįgyvendintas dėl žmogiškųjų resursų stokos.</w:t>
            </w:r>
            <w:r w:rsidRPr="00650FFC">
              <w:rPr>
                <w:szCs w:val="24"/>
              </w:rPr>
              <w:t xml:space="preserve"> </w:t>
            </w:r>
          </w:p>
        </w:tc>
        <w:tc>
          <w:tcPr>
            <w:tcW w:w="3770" w:type="dxa"/>
            <w:vAlign w:val="center"/>
          </w:tcPr>
          <w:p w:rsidR="005F50F9" w:rsidRPr="006B176E" w:rsidRDefault="006B176E" w:rsidP="00AD5F1E">
            <w:pPr>
              <w:jc w:val="both"/>
              <w:rPr>
                <w:color w:val="FF0000"/>
                <w:szCs w:val="24"/>
              </w:rPr>
            </w:pPr>
            <w:r w:rsidRPr="006B176E">
              <w:rPr>
                <w:color w:val="FF0000"/>
                <w:szCs w:val="24"/>
              </w:rPr>
              <w:t>Pasiūlymas laikytinas neįgyvendintu</w:t>
            </w:r>
            <w:r w:rsidR="005F50F9" w:rsidRPr="006B176E">
              <w:rPr>
                <w:color w:val="FF0000"/>
                <w:szCs w:val="24"/>
              </w:rPr>
              <w:t>.</w:t>
            </w:r>
          </w:p>
          <w:p w:rsidR="00B83F39" w:rsidRPr="00650FFC" w:rsidRDefault="006B176E" w:rsidP="00AD5F1E">
            <w:pPr>
              <w:rPr>
                <w:szCs w:val="24"/>
              </w:rPr>
            </w:pPr>
            <w:r w:rsidRPr="006B176E">
              <w:rPr>
                <w:color w:val="FF0000"/>
                <w:szCs w:val="24"/>
              </w:rPr>
              <w:t>Siūlytina ieškoti žmogiškųjų išteklių resursų ir jiems atsiradus pasiūlymą įgyvendinti</w:t>
            </w:r>
            <w:r w:rsidR="005F50F9" w:rsidRPr="006B176E">
              <w:rPr>
                <w:color w:val="FF0000"/>
                <w:szCs w:val="24"/>
              </w:rPr>
              <w:t>.</w:t>
            </w:r>
          </w:p>
        </w:tc>
      </w:tr>
    </w:tbl>
    <w:p w:rsidR="00196221" w:rsidRPr="00650FFC" w:rsidRDefault="00196221" w:rsidP="00AD5F1E">
      <w:pPr>
        <w:rPr>
          <w:szCs w:val="24"/>
        </w:rPr>
      </w:pPr>
    </w:p>
    <w:p w:rsidR="008706A4" w:rsidRPr="00650FFC" w:rsidRDefault="000675F7" w:rsidP="00AD5F1E">
      <w:pPr>
        <w:jc w:val="center"/>
        <w:rPr>
          <w:szCs w:val="24"/>
        </w:rPr>
      </w:pPr>
      <w:r w:rsidRPr="00650FFC">
        <w:rPr>
          <w:szCs w:val="24"/>
        </w:rPr>
        <w:t>________________</w:t>
      </w:r>
    </w:p>
    <w:sectPr w:rsidR="008706A4" w:rsidRPr="00650FFC" w:rsidSect="00C139E4">
      <w:headerReference w:type="default" r:id="rId10"/>
      <w:pgSz w:w="16838" w:h="11906" w:orient="landscape" w:code="9"/>
      <w:pgMar w:top="851" w:right="1134" w:bottom="510"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7A" w:rsidRDefault="005F307A" w:rsidP="003B7C5B">
      <w:r>
        <w:separator/>
      </w:r>
    </w:p>
  </w:endnote>
  <w:endnote w:type="continuationSeparator" w:id="0">
    <w:p w:rsidR="005F307A" w:rsidRDefault="005F307A"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7A" w:rsidRDefault="005F307A" w:rsidP="003B7C5B">
      <w:r>
        <w:separator/>
      </w:r>
    </w:p>
  </w:footnote>
  <w:footnote w:type="continuationSeparator" w:id="0">
    <w:p w:rsidR="005F307A" w:rsidRDefault="005F307A" w:rsidP="003B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27910"/>
      <w:docPartObj>
        <w:docPartGallery w:val="Page Numbers (Top of Page)"/>
        <w:docPartUnique/>
      </w:docPartObj>
    </w:sdtPr>
    <w:sdtEndPr/>
    <w:sdtContent>
      <w:p w:rsidR="0025143F" w:rsidRDefault="00ED19BE">
        <w:pPr>
          <w:pStyle w:val="Header"/>
          <w:jc w:val="center"/>
        </w:pPr>
        <w:r>
          <w:fldChar w:fldCharType="begin"/>
        </w:r>
        <w:r>
          <w:instrText xml:space="preserve"> PAGE   \* MERGEFORMAT </w:instrText>
        </w:r>
        <w:r>
          <w:fldChar w:fldCharType="separate"/>
        </w:r>
        <w:r w:rsidR="00485E48">
          <w:rPr>
            <w:noProof/>
          </w:rPr>
          <w:t>2</w:t>
        </w:r>
        <w:r>
          <w:rPr>
            <w:noProof/>
          </w:rPr>
          <w:fldChar w:fldCharType="end"/>
        </w:r>
      </w:p>
    </w:sdtContent>
  </w:sdt>
  <w:p w:rsidR="0025143F" w:rsidRDefault="00251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0267"/>
    <w:multiLevelType w:val="multilevel"/>
    <w:tmpl w:val="03E6FB5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9659E5"/>
    <w:multiLevelType w:val="multilevel"/>
    <w:tmpl w:val="BAB89486"/>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nsid w:val="2B03434E"/>
    <w:multiLevelType w:val="hybridMultilevel"/>
    <w:tmpl w:val="B738744C"/>
    <w:lvl w:ilvl="0" w:tplc="E9A26A0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nsid w:val="3B1E21A5"/>
    <w:multiLevelType w:val="multilevel"/>
    <w:tmpl w:val="03E6FB5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4E74731A"/>
    <w:multiLevelType w:val="multilevel"/>
    <w:tmpl w:val="0792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nsid w:val="570E715C"/>
    <w:multiLevelType w:val="hybridMultilevel"/>
    <w:tmpl w:val="4154B804"/>
    <w:lvl w:ilvl="0" w:tplc="0427000F">
      <w:start w:val="1"/>
      <w:numFmt w:val="decimal"/>
      <w:lvlText w:val="%1."/>
      <w:lvlJc w:val="left"/>
      <w:pPr>
        <w:ind w:left="1571" w:hanging="360"/>
      </w:pPr>
    </w:lvl>
    <w:lvl w:ilvl="1" w:tplc="1A548EA0">
      <w:numFmt w:val="bullet"/>
      <w:lvlText w:val="-"/>
      <w:lvlJc w:val="left"/>
      <w:pPr>
        <w:ind w:left="2291" w:hanging="360"/>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B9435B5"/>
    <w:multiLevelType w:val="multilevel"/>
    <w:tmpl w:val="61B4D53E"/>
    <w:lvl w:ilvl="0">
      <w:start w:val="14"/>
      <w:numFmt w:val="decimal"/>
      <w:lvlText w:val="%1."/>
      <w:lvlJc w:val="left"/>
      <w:pPr>
        <w:ind w:left="480" w:hanging="480"/>
      </w:pPr>
      <w:rPr>
        <w:rFonts w:hint="default"/>
      </w:rPr>
    </w:lvl>
    <w:lvl w:ilvl="1">
      <w:start w:val="1"/>
      <w:numFmt w:val="decimal"/>
      <w:lvlText w:val="%1.%2."/>
      <w:lvlJc w:val="left"/>
      <w:pPr>
        <w:ind w:left="1560" w:hanging="709"/>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11"/>
  </w:num>
  <w:num w:numId="3">
    <w:abstractNumId w:val="7"/>
  </w:num>
  <w:num w:numId="4">
    <w:abstractNumId w:val="1"/>
  </w:num>
  <w:num w:numId="5">
    <w:abstractNumId w:val="2"/>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B88"/>
    <w:rsid w:val="000024EA"/>
    <w:rsid w:val="00002D4C"/>
    <w:rsid w:val="00003D23"/>
    <w:rsid w:val="00010CFF"/>
    <w:rsid w:val="00010E5D"/>
    <w:rsid w:val="000120D7"/>
    <w:rsid w:val="000146BA"/>
    <w:rsid w:val="00014D1F"/>
    <w:rsid w:val="0001521C"/>
    <w:rsid w:val="00015658"/>
    <w:rsid w:val="00015683"/>
    <w:rsid w:val="000175C8"/>
    <w:rsid w:val="000207A9"/>
    <w:rsid w:val="00021616"/>
    <w:rsid w:val="00022A75"/>
    <w:rsid w:val="00022AAD"/>
    <w:rsid w:val="00027C27"/>
    <w:rsid w:val="00027C35"/>
    <w:rsid w:val="00032787"/>
    <w:rsid w:val="00032FBC"/>
    <w:rsid w:val="00033381"/>
    <w:rsid w:val="00035CB0"/>
    <w:rsid w:val="000472F5"/>
    <w:rsid w:val="00047CF1"/>
    <w:rsid w:val="00047FB0"/>
    <w:rsid w:val="00053506"/>
    <w:rsid w:val="000574CE"/>
    <w:rsid w:val="000578EE"/>
    <w:rsid w:val="00057E63"/>
    <w:rsid w:val="00061870"/>
    <w:rsid w:val="000623CE"/>
    <w:rsid w:val="000631F6"/>
    <w:rsid w:val="0006453E"/>
    <w:rsid w:val="000652B4"/>
    <w:rsid w:val="000675F7"/>
    <w:rsid w:val="00070569"/>
    <w:rsid w:val="000714DE"/>
    <w:rsid w:val="00071E06"/>
    <w:rsid w:val="00075C70"/>
    <w:rsid w:val="000818FB"/>
    <w:rsid w:val="00092730"/>
    <w:rsid w:val="00095B25"/>
    <w:rsid w:val="00095B70"/>
    <w:rsid w:val="00095CF8"/>
    <w:rsid w:val="00095DEF"/>
    <w:rsid w:val="000A3545"/>
    <w:rsid w:val="000A712D"/>
    <w:rsid w:val="000B05AB"/>
    <w:rsid w:val="000B3311"/>
    <w:rsid w:val="000B34EB"/>
    <w:rsid w:val="000B5CD3"/>
    <w:rsid w:val="000C0D06"/>
    <w:rsid w:val="000C1C1F"/>
    <w:rsid w:val="000C2100"/>
    <w:rsid w:val="000C3663"/>
    <w:rsid w:val="000C474F"/>
    <w:rsid w:val="000C6F5F"/>
    <w:rsid w:val="000D04C6"/>
    <w:rsid w:val="000D1A32"/>
    <w:rsid w:val="000D2108"/>
    <w:rsid w:val="000D72A5"/>
    <w:rsid w:val="000E137C"/>
    <w:rsid w:val="000E37A8"/>
    <w:rsid w:val="000E7423"/>
    <w:rsid w:val="000F183A"/>
    <w:rsid w:val="000F3B00"/>
    <w:rsid w:val="000F6353"/>
    <w:rsid w:val="000F7D38"/>
    <w:rsid w:val="001016B5"/>
    <w:rsid w:val="00101865"/>
    <w:rsid w:val="00102A6D"/>
    <w:rsid w:val="00105E55"/>
    <w:rsid w:val="00107838"/>
    <w:rsid w:val="001102C9"/>
    <w:rsid w:val="00115FEA"/>
    <w:rsid w:val="00116BFA"/>
    <w:rsid w:val="00120B3A"/>
    <w:rsid w:val="00124829"/>
    <w:rsid w:val="0012612C"/>
    <w:rsid w:val="00126706"/>
    <w:rsid w:val="00126E00"/>
    <w:rsid w:val="0013156D"/>
    <w:rsid w:val="00133A18"/>
    <w:rsid w:val="00133C5C"/>
    <w:rsid w:val="00133D26"/>
    <w:rsid w:val="001442E1"/>
    <w:rsid w:val="001541E4"/>
    <w:rsid w:val="00154221"/>
    <w:rsid w:val="00156AE0"/>
    <w:rsid w:val="001579F9"/>
    <w:rsid w:val="0016351D"/>
    <w:rsid w:val="00163D49"/>
    <w:rsid w:val="00163F12"/>
    <w:rsid w:val="0016455F"/>
    <w:rsid w:val="0016511F"/>
    <w:rsid w:val="00165BF3"/>
    <w:rsid w:val="001669E0"/>
    <w:rsid w:val="001723D2"/>
    <w:rsid w:val="0017419C"/>
    <w:rsid w:val="00174C9C"/>
    <w:rsid w:val="00176CD3"/>
    <w:rsid w:val="00177859"/>
    <w:rsid w:val="00177AC1"/>
    <w:rsid w:val="00180BB0"/>
    <w:rsid w:val="00184325"/>
    <w:rsid w:val="00187E88"/>
    <w:rsid w:val="00190DAF"/>
    <w:rsid w:val="00193D43"/>
    <w:rsid w:val="00194DF1"/>
    <w:rsid w:val="00196221"/>
    <w:rsid w:val="00197CFE"/>
    <w:rsid w:val="001A0046"/>
    <w:rsid w:val="001A1D4E"/>
    <w:rsid w:val="001A4524"/>
    <w:rsid w:val="001A66A2"/>
    <w:rsid w:val="001A6945"/>
    <w:rsid w:val="001A6B5F"/>
    <w:rsid w:val="001C0F0E"/>
    <w:rsid w:val="001C530F"/>
    <w:rsid w:val="001D0582"/>
    <w:rsid w:val="001D22D4"/>
    <w:rsid w:val="001D513F"/>
    <w:rsid w:val="001D580B"/>
    <w:rsid w:val="001D7C49"/>
    <w:rsid w:val="001E249C"/>
    <w:rsid w:val="001E2D7A"/>
    <w:rsid w:val="001E3C00"/>
    <w:rsid w:val="001E4B89"/>
    <w:rsid w:val="001E7E99"/>
    <w:rsid w:val="001F022C"/>
    <w:rsid w:val="001F2005"/>
    <w:rsid w:val="001F38AF"/>
    <w:rsid w:val="001F75AF"/>
    <w:rsid w:val="001F7EEE"/>
    <w:rsid w:val="0020135B"/>
    <w:rsid w:val="00210098"/>
    <w:rsid w:val="002108A6"/>
    <w:rsid w:val="00210BB5"/>
    <w:rsid w:val="00215596"/>
    <w:rsid w:val="00222468"/>
    <w:rsid w:val="00224A37"/>
    <w:rsid w:val="00226A06"/>
    <w:rsid w:val="0022714C"/>
    <w:rsid w:val="00227F13"/>
    <w:rsid w:val="0023172B"/>
    <w:rsid w:val="0023762D"/>
    <w:rsid w:val="00240860"/>
    <w:rsid w:val="002478A3"/>
    <w:rsid w:val="0025143F"/>
    <w:rsid w:val="00252859"/>
    <w:rsid w:val="00252FF0"/>
    <w:rsid w:val="00253D4F"/>
    <w:rsid w:val="00255EB5"/>
    <w:rsid w:val="00267B6C"/>
    <w:rsid w:val="002711CB"/>
    <w:rsid w:val="00272949"/>
    <w:rsid w:val="00273B54"/>
    <w:rsid w:val="00277534"/>
    <w:rsid w:val="002848B2"/>
    <w:rsid w:val="0029001B"/>
    <w:rsid w:val="00291CEC"/>
    <w:rsid w:val="00296BFF"/>
    <w:rsid w:val="002A052D"/>
    <w:rsid w:val="002A3FA0"/>
    <w:rsid w:val="002A43A1"/>
    <w:rsid w:val="002A44E1"/>
    <w:rsid w:val="002A61DC"/>
    <w:rsid w:val="002A6B44"/>
    <w:rsid w:val="002B3103"/>
    <w:rsid w:val="002B7282"/>
    <w:rsid w:val="002C43DE"/>
    <w:rsid w:val="002D693A"/>
    <w:rsid w:val="002D7736"/>
    <w:rsid w:val="002E618A"/>
    <w:rsid w:val="002F03A6"/>
    <w:rsid w:val="002F5EDD"/>
    <w:rsid w:val="002F63A6"/>
    <w:rsid w:val="002F7AA3"/>
    <w:rsid w:val="002F7CAE"/>
    <w:rsid w:val="00301FAD"/>
    <w:rsid w:val="00302321"/>
    <w:rsid w:val="00307FCC"/>
    <w:rsid w:val="00313780"/>
    <w:rsid w:val="003226D1"/>
    <w:rsid w:val="0032299A"/>
    <w:rsid w:val="00322EB1"/>
    <w:rsid w:val="00324AA4"/>
    <w:rsid w:val="003302B7"/>
    <w:rsid w:val="0033109F"/>
    <w:rsid w:val="003310CA"/>
    <w:rsid w:val="0033347E"/>
    <w:rsid w:val="003334F1"/>
    <w:rsid w:val="00336CF0"/>
    <w:rsid w:val="003371F6"/>
    <w:rsid w:val="00337D51"/>
    <w:rsid w:val="00340B7E"/>
    <w:rsid w:val="0035189A"/>
    <w:rsid w:val="00353F4A"/>
    <w:rsid w:val="0035418C"/>
    <w:rsid w:val="00355E6A"/>
    <w:rsid w:val="003565A2"/>
    <w:rsid w:val="00360415"/>
    <w:rsid w:val="0036124A"/>
    <w:rsid w:val="00365BCD"/>
    <w:rsid w:val="00367B86"/>
    <w:rsid w:val="00367CEB"/>
    <w:rsid w:val="00370064"/>
    <w:rsid w:val="00370C33"/>
    <w:rsid w:val="0037252C"/>
    <w:rsid w:val="003727D7"/>
    <w:rsid w:val="00374EB7"/>
    <w:rsid w:val="00376554"/>
    <w:rsid w:val="00376C7E"/>
    <w:rsid w:val="00376CB2"/>
    <w:rsid w:val="00376FD8"/>
    <w:rsid w:val="0038140E"/>
    <w:rsid w:val="00381A4D"/>
    <w:rsid w:val="00381F30"/>
    <w:rsid w:val="003829D0"/>
    <w:rsid w:val="00383086"/>
    <w:rsid w:val="00390BC1"/>
    <w:rsid w:val="00391FB8"/>
    <w:rsid w:val="00395D08"/>
    <w:rsid w:val="003A0865"/>
    <w:rsid w:val="003A1A95"/>
    <w:rsid w:val="003A1D8F"/>
    <w:rsid w:val="003A3744"/>
    <w:rsid w:val="003A5851"/>
    <w:rsid w:val="003B5B72"/>
    <w:rsid w:val="003B5F08"/>
    <w:rsid w:val="003B6CE4"/>
    <w:rsid w:val="003B7C5B"/>
    <w:rsid w:val="003C0BB9"/>
    <w:rsid w:val="003C2B70"/>
    <w:rsid w:val="003C40AC"/>
    <w:rsid w:val="003D373C"/>
    <w:rsid w:val="003D7C6A"/>
    <w:rsid w:val="003E1DD3"/>
    <w:rsid w:val="003E7390"/>
    <w:rsid w:val="003F354A"/>
    <w:rsid w:val="003F355C"/>
    <w:rsid w:val="003F4E37"/>
    <w:rsid w:val="004061EE"/>
    <w:rsid w:val="00407FE7"/>
    <w:rsid w:val="0041011C"/>
    <w:rsid w:val="004105F1"/>
    <w:rsid w:val="00410B83"/>
    <w:rsid w:val="004130DD"/>
    <w:rsid w:val="00413E1C"/>
    <w:rsid w:val="00413EA3"/>
    <w:rsid w:val="00421F3D"/>
    <w:rsid w:val="004308F7"/>
    <w:rsid w:val="004313EB"/>
    <w:rsid w:val="004325E1"/>
    <w:rsid w:val="00433B56"/>
    <w:rsid w:val="004359EE"/>
    <w:rsid w:val="00436119"/>
    <w:rsid w:val="0043788D"/>
    <w:rsid w:val="004409F2"/>
    <w:rsid w:val="0044330D"/>
    <w:rsid w:val="0044613B"/>
    <w:rsid w:val="00450117"/>
    <w:rsid w:val="00456D99"/>
    <w:rsid w:val="00457104"/>
    <w:rsid w:val="004577DE"/>
    <w:rsid w:val="00457967"/>
    <w:rsid w:val="00461110"/>
    <w:rsid w:val="004614D4"/>
    <w:rsid w:val="00463A9E"/>
    <w:rsid w:val="00464440"/>
    <w:rsid w:val="004645E3"/>
    <w:rsid w:val="00465FAF"/>
    <w:rsid w:val="00466104"/>
    <w:rsid w:val="00471ABE"/>
    <w:rsid w:val="00477516"/>
    <w:rsid w:val="00481CBC"/>
    <w:rsid w:val="00482CBA"/>
    <w:rsid w:val="004846EC"/>
    <w:rsid w:val="00484E93"/>
    <w:rsid w:val="00485E48"/>
    <w:rsid w:val="00495A02"/>
    <w:rsid w:val="004A0ED8"/>
    <w:rsid w:val="004A35FF"/>
    <w:rsid w:val="004B1ABE"/>
    <w:rsid w:val="004B7674"/>
    <w:rsid w:val="004B7713"/>
    <w:rsid w:val="004C22D0"/>
    <w:rsid w:val="004C2BD5"/>
    <w:rsid w:val="004C33F3"/>
    <w:rsid w:val="004C6C01"/>
    <w:rsid w:val="004C78DB"/>
    <w:rsid w:val="004D0B70"/>
    <w:rsid w:val="004D1051"/>
    <w:rsid w:val="004D1EFC"/>
    <w:rsid w:val="004D55BC"/>
    <w:rsid w:val="004D648F"/>
    <w:rsid w:val="004D6D51"/>
    <w:rsid w:val="004E0A4F"/>
    <w:rsid w:val="004E0E24"/>
    <w:rsid w:val="004E1448"/>
    <w:rsid w:val="004E6735"/>
    <w:rsid w:val="004F05E4"/>
    <w:rsid w:val="004F15FE"/>
    <w:rsid w:val="004F2F05"/>
    <w:rsid w:val="004F4415"/>
    <w:rsid w:val="004F747C"/>
    <w:rsid w:val="00500285"/>
    <w:rsid w:val="00515DB0"/>
    <w:rsid w:val="00516116"/>
    <w:rsid w:val="00516681"/>
    <w:rsid w:val="00516F9B"/>
    <w:rsid w:val="005208A1"/>
    <w:rsid w:val="00521E28"/>
    <w:rsid w:val="005256C8"/>
    <w:rsid w:val="0053017E"/>
    <w:rsid w:val="005307C0"/>
    <w:rsid w:val="0053123C"/>
    <w:rsid w:val="00532AF0"/>
    <w:rsid w:val="00532DC9"/>
    <w:rsid w:val="005334C0"/>
    <w:rsid w:val="00533F58"/>
    <w:rsid w:val="00536CCB"/>
    <w:rsid w:val="0054207B"/>
    <w:rsid w:val="00543395"/>
    <w:rsid w:val="00551843"/>
    <w:rsid w:val="005525AC"/>
    <w:rsid w:val="0055442E"/>
    <w:rsid w:val="0055550F"/>
    <w:rsid w:val="00556913"/>
    <w:rsid w:val="00561100"/>
    <w:rsid w:val="00563C7F"/>
    <w:rsid w:val="005641E5"/>
    <w:rsid w:val="005728B0"/>
    <w:rsid w:val="00576DED"/>
    <w:rsid w:val="00587029"/>
    <w:rsid w:val="0059148F"/>
    <w:rsid w:val="005922FA"/>
    <w:rsid w:val="00594C8C"/>
    <w:rsid w:val="00595AF4"/>
    <w:rsid w:val="005977CA"/>
    <w:rsid w:val="005A037A"/>
    <w:rsid w:val="005A1094"/>
    <w:rsid w:val="005A29FC"/>
    <w:rsid w:val="005A34F5"/>
    <w:rsid w:val="005A3671"/>
    <w:rsid w:val="005A73E2"/>
    <w:rsid w:val="005B07A6"/>
    <w:rsid w:val="005B0E5E"/>
    <w:rsid w:val="005B38BA"/>
    <w:rsid w:val="005B63D3"/>
    <w:rsid w:val="005B7DAF"/>
    <w:rsid w:val="005C0BBB"/>
    <w:rsid w:val="005C4A45"/>
    <w:rsid w:val="005C5459"/>
    <w:rsid w:val="005D156D"/>
    <w:rsid w:val="005D1E5F"/>
    <w:rsid w:val="005D2E97"/>
    <w:rsid w:val="005D349D"/>
    <w:rsid w:val="005D3A9E"/>
    <w:rsid w:val="005D4C37"/>
    <w:rsid w:val="005D5D01"/>
    <w:rsid w:val="005D77EC"/>
    <w:rsid w:val="005D7923"/>
    <w:rsid w:val="005E3B2E"/>
    <w:rsid w:val="005E3D63"/>
    <w:rsid w:val="005E59E6"/>
    <w:rsid w:val="005E6B5B"/>
    <w:rsid w:val="005F305E"/>
    <w:rsid w:val="005F307A"/>
    <w:rsid w:val="005F50F9"/>
    <w:rsid w:val="005F6257"/>
    <w:rsid w:val="005F7DAE"/>
    <w:rsid w:val="0060719F"/>
    <w:rsid w:val="006134B2"/>
    <w:rsid w:val="00613A55"/>
    <w:rsid w:val="0062075E"/>
    <w:rsid w:val="006245FE"/>
    <w:rsid w:val="00633511"/>
    <w:rsid w:val="00633892"/>
    <w:rsid w:val="00634006"/>
    <w:rsid w:val="0063544A"/>
    <w:rsid w:val="00643377"/>
    <w:rsid w:val="0064369B"/>
    <w:rsid w:val="006474FB"/>
    <w:rsid w:val="00647536"/>
    <w:rsid w:val="00650FFC"/>
    <w:rsid w:val="00660101"/>
    <w:rsid w:val="00660661"/>
    <w:rsid w:val="00662008"/>
    <w:rsid w:val="00664D7C"/>
    <w:rsid w:val="00667103"/>
    <w:rsid w:val="00672034"/>
    <w:rsid w:val="00672D70"/>
    <w:rsid w:val="00682F05"/>
    <w:rsid w:val="0068740C"/>
    <w:rsid w:val="00687958"/>
    <w:rsid w:val="0069300E"/>
    <w:rsid w:val="006A3853"/>
    <w:rsid w:val="006A41D4"/>
    <w:rsid w:val="006A485E"/>
    <w:rsid w:val="006A6365"/>
    <w:rsid w:val="006A7A89"/>
    <w:rsid w:val="006B082E"/>
    <w:rsid w:val="006B13F6"/>
    <w:rsid w:val="006B176E"/>
    <w:rsid w:val="006B1E45"/>
    <w:rsid w:val="006B2E67"/>
    <w:rsid w:val="006B5B93"/>
    <w:rsid w:val="006B7E83"/>
    <w:rsid w:val="006C18E4"/>
    <w:rsid w:val="006C68BF"/>
    <w:rsid w:val="006C6EF4"/>
    <w:rsid w:val="006E16BA"/>
    <w:rsid w:val="006E2F27"/>
    <w:rsid w:val="006E3B3F"/>
    <w:rsid w:val="006E7E66"/>
    <w:rsid w:val="006F4E3E"/>
    <w:rsid w:val="006F4EA5"/>
    <w:rsid w:val="006F57B9"/>
    <w:rsid w:val="006F79FC"/>
    <w:rsid w:val="007024C3"/>
    <w:rsid w:val="00702AE2"/>
    <w:rsid w:val="007043D9"/>
    <w:rsid w:val="00704C05"/>
    <w:rsid w:val="00707CD3"/>
    <w:rsid w:val="007110E6"/>
    <w:rsid w:val="00711559"/>
    <w:rsid w:val="00711F97"/>
    <w:rsid w:val="00714531"/>
    <w:rsid w:val="0071471B"/>
    <w:rsid w:val="0071578A"/>
    <w:rsid w:val="00725F0C"/>
    <w:rsid w:val="0073014B"/>
    <w:rsid w:val="00730302"/>
    <w:rsid w:val="00731057"/>
    <w:rsid w:val="00737EC9"/>
    <w:rsid w:val="00741911"/>
    <w:rsid w:val="00742425"/>
    <w:rsid w:val="00742A76"/>
    <w:rsid w:val="007525F0"/>
    <w:rsid w:val="007549A8"/>
    <w:rsid w:val="007634D0"/>
    <w:rsid w:val="007647D7"/>
    <w:rsid w:val="0076656B"/>
    <w:rsid w:val="007703A2"/>
    <w:rsid w:val="007713D3"/>
    <w:rsid w:val="007724B9"/>
    <w:rsid w:val="00776442"/>
    <w:rsid w:val="00782271"/>
    <w:rsid w:val="00783ED7"/>
    <w:rsid w:val="007849A7"/>
    <w:rsid w:val="007865B7"/>
    <w:rsid w:val="0079332F"/>
    <w:rsid w:val="007965FA"/>
    <w:rsid w:val="007A68E5"/>
    <w:rsid w:val="007B0334"/>
    <w:rsid w:val="007B10C1"/>
    <w:rsid w:val="007B6E05"/>
    <w:rsid w:val="007C3B9C"/>
    <w:rsid w:val="007D1FBF"/>
    <w:rsid w:val="007D252D"/>
    <w:rsid w:val="007D314C"/>
    <w:rsid w:val="007D6446"/>
    <w:rsid w:val="007D76C2"/>
    <w:rsid w:val="007E4727"/>
    <w:rsid w:val="007E4B35"/>
    <w:rsid w:val="007F2504"/>
    <w:rsid w:val="007F2854"/>
    <w:rsid w:val="007F423B"/>
    <w:rsid w:val="007F4C4C"/>
    <w:rsid w:val="007F5407"/>
    <w:rsid w:val="007F575C"/>
    <w:rsid w:val="00804B7B"/>
    <w:rsid w:val="008052D3"/>
    <w:rsid w:val="0081358E"/>
    <w:rsid w:val="00821073"/>
    <w:rsid w:val="00821CCC"/>
    <w:rsid w:val="00822016"/>
    <w:rsid w:val="00824083"/>
    <w:rsid w:val="0083430D"/>
    <w:rsid w:val="0083741C"/>
    <w:rsid w:val="00837A4D"/>
    <w:rsid w:val="00843D36"/>
    <w:rsid w:val="00853134"/>
    <w:rsid w:val="00856B9D"/>
    <w:rsid w:val="0085744E"/>
    <w:rsid w:val="00860A96"/>
    <w:rsid w:val="0086226F"/>
    <w:rsid w:val="00864975"/>
    <w:rsid w:val="008706A4"/>
    <w:rsid w:val="00870F97"/>
    <w:rsid w:val="0087323E"/>
    <w:rsid w:val="0088002F"/>
    <w:rsid w:val="00884DC5"/>
    <w:rsid w:val="0089257C"/>
    <w:rsid w:val="0089520D"/>
    <w:rsid w:val="0089678E"/>
    <w:rsid w:val="00896A19"/>
    <w:rsid w:val="008A05B1"/>
    <w:rsid w:val="008A0FB2"/>
    <w:rsid w:val="008A1158"/>
    <w:rsid w:val="008A2253"/>
    <w:rsid w:val="008B0934"/>
    <w:rsid w:val="008B21EE"/>
    <w:rsid w:val="008C1357"/>
    <w:rsid w:val="008C215B"/>
    <w:rsid w:val="008C2740"/>
    <w:rsid w:val="008C32C2"/>
    <w:rsid w:val="008C391E"/>
    <w:rsid w:val="008C4E17"/>
    <w:rsid w:val="008C6C0C"/>
    <w:rsid w:val="008C6D8F"/>
    <w:rsid w:val="008D2C25"/>
    <w:rsid w:val="008D63E5"/>
    <w:rsid w:val="008D6BB1"/>
    <w:rsid w:val="008E04C2"/>
    <w:rsid w:val="008E48B9"/>
    <w:rsid w:val="008E7DAC"/>
    <w:rsid w:val="008F0110"/>
    <w:rsid w:val="008F3C6B"/>
    <w:rsid w:val="00900E3F"/>
    <w:rsid w:val="00904DB7"/>
    <w:rsid w:val="00911C04"/>
    <w:rsid w:val="00915DF7"/>
    <w:rsid w:val="00916386"/>
    <w:rsid w:val="009211DC"/>
    <w:rsid w:val="00921B9C"/>
    <w:rsid w:val="00921CEF"/>
    <w:rsid w:val="009242DF"/>
    <w:rsid w:val="009252A0"/>
    <w:rsid w:val="009259D5"/>
    <w:rsid w:val="00931044"/>
    <w:rsid w:val="009335A0"/>
    <w:rsid w:val="0093571E"/>
    <w:rsid w:val="009422A2"/>
    <w:rsid w:val="00944A54"/>
    <w:rsid w:val="00945CBA"/>
    <w:rsid w:val="0094737C"/>
    <w:rsid w:val="009505B9"/>
    <w:rsid w:val="00950905"/>
    <w:rsid w:val="009565C4"/>
    <w:rsid w:val="00966C41"/>
    <w:rsid w:val="00971199"/>
    <w:rsid w:val="00972070"/>
    <w:rsid w:val="00977FE9"/>
    <w:rsid w:val="0098509B"/>
    <w:rsid w:val="00985F75"/>
    <w:rsid w:val="00986CE8"/>
    <w:rsid w:val="00987C7E"/>
    <w:rsid w:val="00991909"/>
    <w:rsid w:val="00994581"/>
    <w:rsid w:val="0099481F"/>
    <w:rsid w:val="0099490B"/>
    <w:rsid w:val="009953C4"/>
    <w:rsid w:val="00996961"/>
    <w:rsid w:val="00996E32"/>
    <w:rsid w:val="009A02B9"/>
    <w:rsid w:val="009A335C"/>
    <w:rsid w:val="009A3996"/>
    <w:rsid w:val="009A3A26"/>
    <w:rsid w:val="009A50B0"/>
    <w:rsid w:val="009A5778"/>
    <w:rsid w:val="009A5CA2"/>
    <w:rsid w:val="009A6FB9"/>
    <w:rsid w:val="009C1458"/>
    <w:rsid w:val="009C1838"/>
    <w:rsid w:val="009C297E"/>
    <w:rsid w:val="009C4C39"/>
    <w:rsid w:val="009D1497"/>
    <w:rsid w:val="009D14A4"/>
    <w:rsid w:val="009D14C4"/>
    <w:rsid w:val="009D2202"/>
    <w:rsid w:val="009D248F"/>
    <w:rsid w:val="009E0DB0"/>
    <w:rsid w:val="009E0DDE"/>
    <w:rsid w:val="009E1379"/>
    <w:rsid w:val="009E24BE"/>
    <w:rsid w:val="009E5297"/>
    <w:rsid w:val="009F3F7F"/>
    <w:rsid w:val="009F4A76"/>
    <w:rsid w:val="00A005F5"/>
    <w:rsid w:val="00A00EBD"/>
    <w:rsid w:val="00A02BBC"/>
    <w:rsid w:val="00A042C2"/>
    <w:rsid w:val="00A053A6"/>
    <w:rsid w:val="00A062CA"/>
    <w:rsid w:val="00A06F59"/>
    <w:rsid w:val="00A07CA6"/>
    <w:rsid w:val="00A11206"/>
    <w:rsid w:val="00A119F2"/>
    <w:rsid w:val="00A11C9B"/>
    <w:rsid w:val="00A13C8F"/>
    <w:rsid w:val="00A13E95"/>
    <w:rsid w:val="00A154D9"/>
    <w:rsid w:val="00A16C41"/>
    <w:rsid w:val="00A23AB8"/>
    <w:rsid w:val="00A24A32"/>
    <w:rsid w:val="00A278E9"/>
    <w:rsid w:val="00A30D55"/>
    <w:rsid w:val="00A31889"/>
    <w:rsid w:val="00A34910"/>
    <w:rsid w:val="00A34912"/>
    <w:rsid w:val="00A35753"/>
    <w:rsid w:val="00A415A6"/>
    <w:rsid w:val="00A42A2E"/>
    <w:rsid w:val="00A435B3"/>
    <w:rsid w:val="00A569A0"/>
    <w:rsid w:val="00A63A03"/>
    <w:rsid w:val="00A64615"/>
    <w:rsid w:val="00A66135"/>
    <w:rsid w:val="00A707E4"/>
    <w:rsid w:val="00A70EE3"/>
    <w:rsid w:val="00A7206F"/>
    <w:rsid w:val="00A726B9"/>
    <w:rsid w:val="00A74185"/>
    <w:rsid w:val="00A74E85"/>
    <w:rsid w:val="00A77134"/>
    <w:rsid w:val="00A830EC"/>
    <w:rsid w:val="00A8399A"/>
    <w:rsid w:val="00A86D79"/>
    <w:rsid w:val="00A87E68"/>
    <w:rsid w:val="00A92748"/>
    <w:rsid w:val="00A92F2D"/>
    <w:rsid w:val="00A93194"/>
    <w:rsid w:val="00A952FB"/>
    <w:rsid w:val="00A9551F"/>
    <w:rsid w:val="00AA3341"/>
    <w:rsid w:val="00AB014D"/>
    <w:rsid w:val="00AB0A3D"/>
    <w:rsid w:val="00AB3A68"/>
    <w:rsid w:val="00AB5B29"/>
    <w:rsid w:val="00AB62A9"/>
    <w:rsid w:val="00AB6D6C"/>
    <w:rsid w:val="00AB72D6"/>
    <w:rsid w:val="00AC439B"/>
    <w:rsid w:val="00AC4A55"/>
    <w:rsid w:val="00AD1141"/>
    <w:rsid w:val="00AD4435"/>
    <w:rsid w:val="00AD5448"/>
    <w:rsid w:val="00AD5F1E"/>
    <w:rsid w:val="00AD691B"/>
    <w:rsid w:val="00AE34FF"/>
    <w:rsid w:val="00AE4875"/>
    <w:rsid w:val="00AE5E0B"/>
    <w:rsid w:val="00AE5E5F"/>
    <w:rsid w:val="00AE6437"/>
    <w:rsid w:val="00AE7864"/>
    <w:rsid w:val="00AF269F"/>
    <w:rsid w:val="00AF32CC"/>
    <w:rsid w:val="00B0007B"/>
    <w:rsid w:val="00B03E79"/>
    <w:rsid w:val="00B04C46"/>
    <w:rsid w:val="00B063F6"/>
    <w:rsid w:val="00B13A8D"/>
    <w:rsid w:val="00B16242"/>
    <w:rsid w:val="00B20635"/>
    <w:rsid w:val="00B20746"/>
    <w:rsid w:val="00B23D5D"/>
    <w:rsid w:val="00B248A3"/>
    <w:rsid w:val="00B26B0F"/>
    <w:rsid w:val="00B3029A"/>
    <w:rsid w:val="00B34576"/>
    <w:rsid w:val="00B4682E"/>
    <w:rsid w:val="00B50CEC"/>
    <w:rsid w:val="00B51B1C"/>
    <w:rsid w:val="00B5435F"/>
    <w:rsid w:val="00B5445A"/>
    <w:rsid w:val="00B56105"/>
    <w:rsid w:val="00B562DD"/>
    <w:rsid w:val="00B57034"/>
    <w:rsid w:val="00B61C3A"/>
    <w:rsid w:val="00B6352B"/>
    <w:rsid w:val="00B644EC"/>
    <w:rsid w:val="00B6654B"/>
    <w:rsid w:val="00B66C76"/>
    <w:rsid w:val="00B675C0"/>
    <w:rsid w:val="00B71EEB"/>
    <w:rsid w:val="00B73E9E"/>
    <w:rsid w:val="00B7560F"/>
    <w:rsid w:val="00B8246F"/>
    <w:rsid w:val="00B83F39"/>
    <w:rsid w:val="00B90BDE"/>
    <w:rsid w:val="00B92672"/>
    <w:rsid w:val="00B94C99"/>
    <w:rsid w:val="00B96911"/>
    <w:rsid w:val="00BA0D6C"/>
    <w:rsid w:val="00BA55C9"/>
    <w:rsid w:val="00BA5E43"/>
    <w:rsid w:val="00BA79DD"/>
    <w:rsid w:val="00BB1091"/>
    <w:rsid w:val="00BB10DA"/>
    <w:rsid w:val="00BB246C"/>
    <w:rsid w:val="00BB27FF"/>
    <w:rsid w:val="00BB30C7"/>
    <w:rsid w:val="00BB5EB0"/>
    <w:rsid w:val="00BC192C"/>
    <w:rsid w:val="00BC34CF"/>
    <w:rsid w:val="00BC5C4F"/>
    <w:rsid w:val="00BC6D55"/>
    <w:rsid w:val="00BE33A2"/>
    <w:rsid w:val="00BE43E6"/>
    <w:rsid w:val="00BE71CF"/>
    <w:rsid w:val="00C0094F"/>
    <w:rsid w:val="00C06D65"/>
    <w:rsid w:val="00C07001"/>
    <w:rsid w:val="00C139E4"/>
    <w:rsid w:val="00C149F2"/>
    <w:rsid w:val="00C16893"/>
    <w:rsid w:val="00C16F6C"/>
    <w:rsid w:val="00C1705B"/>
    <w:rsid w:val="00C17EE0"/>
    <w:rsid w:val="00C223EE"/>
    <w:rsid w:val="00C2565E"/>
    <w:rsid w:val="00C263E4"/>
    <w:rsid w:val="00C31600"/>
    <w:rsid w:val="00C3473A"/>
    <w:rsid w:val="00C34D04"/>
    <w:rsid w:val="00C3757A"/>
    <w:rsid w:val="00C4359E"/>
    <w:rsid w:val="00C50804"/>
    <w:rsid w:val="00C53EF0"/>
    <w:rsid w:val="00C541D7"/>
    <w:rsid w:val="00C54303"/>
    <w:rsid w:val="00C61147"/>
    <w:rsid w:val="00C61194"/>
    <w:rsid w:val="00C613BC"/>
    <w:rsid w:val="00C62137"/>
    <w:rsid w:val="00C6396D"/>
    <w:rsid w:val="00C654C0"/>
    <w:rsid w:val="00C67444"/>
    <w:rsid w:val="00C711C8"/>
    <w:rsid w:val="00C734E4"/>
    <w:rsid w:val="00C74D3C"/>
    <w:rsid w:val="00C76175"/>
    <w:rsid w:val="00C7630C"/>
    <w:rsid w:val="00C769B8"/>
    <w:rsid w:val="00C77AFA"/>
    <w:rsid w:val="00C81473"/>
    <w:rsid w:val="00C8357F"/>
    <w:rsid w:val="00C8486A"/>
    <w:rsid w:val="00C85D47"/>
    <w:rsid w:val="00C928BA"/>
    <w:rsid w:val="00C930DE"/>
    <w:rsid w:val="00C9569C"/>
    <w:rsid w:val="00CA29E7"/>
    <w:rsid w:val="00CA2E1A"/>
    <w:rsid w:val="00CA4278"/>
    <w:rsid w:val="00CA544B"/>
    <w:rsid w:val="00CA6B25"/>
    <w:rsid w:val="00CA6FD5"/>
    <w:rsid w:val="00CB1A41"/>
    <w:rsid w:val="00CB4C93"/>
    <w:rsid w:val="00CB5729"/>
    <w:rsid w:val="00CB6096"/>
    <w:rsid w:val="00CB6F6E"/>
    <w:rsid w:val="00CC06A5"/>
    <w:rsid w:val="00CC0C56"/>
    <w:rsid w:val="00CC120E"/>
    <w:rsid w:val="00CC147F"/>
    <w:rsid w:val="00CC4F00"/>
    <w:rsid w:val="00CC7F31"/>
    <w:rsid w:val="00CD1499"/>
    <w:rsid w:val="00CD16C8"/>
    <w:rsid w:val="00CD5CC3"/>
    <w:rsid w:val="00CE289E"/>
    <w:rsid w:val="00CE2AF4"/>
    <w:rsid w:val="00CE7E4C"/>
    <w:rsid w:val="00CF0A86"/>
    <w:rsid w:val="00CF3D6D"/>
    <w:rsid w:val="00CF463F"/>
    <w:rsid w:val="00D03DDB"/>
    <w:rsid w:val="00D045E0"/>
    <w:rsid w:val="00D04C62"/>
    <w:rsid w:val="00D064E9"/>
    <w:rsid w:val="00D12923"/>
    <w:rsid w:val="00D138A8"/>
    <w:rsid w:val="00D14664"/>
    <w:rsid w:val="00D201F8"/>
    <w:rsid w:val="00D22096"/>
    <w:rsid w:val="00D2225A"/>
    <w:rsid w:val="00D22E34"/>
    <w:rsid w:val="00D242FE"/>
    <w:rsid w:val="00D3546B"/>
    <w:rsid w:val="00D356E7"/>
    <w:rsid w:val="00D37399"/>
    <w:rsid w:val="00D4134D"/>
    <w:rsid w:val="00D42BEC"/>
    <w:rsid w:val="00D45D85"/>
    <w:rsid w:val="00D515D9"/>
    <w:rsid w:val="00D5729F"/>
    <w:rsid w:val="00D60151"/>
    <w:rsid w:val="00D61AE7"/>
    <w:rsid w:val="00D66E50"/>
    <w:rsid w:val="00D70A01"/>
    <w:rsid w:val="00D71014"/>
    <w:rsid w:val="00D72359"/>
    <w:rsid w:val="00D764A0"/>
    <w:rsid w:val="00D8315F"/>
    <w:rsid w:val="00D845B4"/>
    <w:rsid w:val="00D90246"/>
    <w:rsid w:val="00D9322D"/>
    <w:rsid w:val="00DA139A"/>
    <w:rsid w:val="00DB2A83"/>
    <w:rsid w:val="00DB4177"/>
    <w:rsid w:val="00DB6CAA"/>
    <w:rsid w:val="00DB6F4F"/>
    <w:rsid w:val="00DB7212"/>
    <w:rsid w:val="00DC017F"/>
    <w:rsid w:val="00DC165E"/>
    <w:rsid w:val="00DC4CFE"/>
    <w:rsid w:val="00DC50F1"/>
    <w:rsid w:val="00DD1999"/>
    <w:rsid w:val="00DD696A"/>
    <w:rsid w:val="00DE1547"/>
    <w:rsid w:val="00DE4B22"/>
    <w:rsid w:val="00DF1AF4"/>
    <w:rsid w:val="00E001B6"/>
    <w:rsid w:val="00E02BF8"/>
    <w:rsid w:val="00E02EB9"/>
    <w:rsid w:val="00E03952"/>
    <w:rsid w:val="00E05C11"/>
    <w:rsid w:val="00E0665E"/>
    <w:rsid w:val="00E10BDA"/>
    <w:rsid w:val="00E12926"/>
    <w:rsid w:val="00E13945"/>
    <w:rsid w:val="00E13F61"/>
    <w:rsid w:val="00E143C5"/>
    <w:rsid w:val="00E15153"/>
    <w:rsid w:val="00E16382"/>
    <w:rsid w:val="00E2290C"/>
    <w:rsid w:val="00E230C8"/>
    <w:rsid w:val="00E26501"/>
    <w:rsid w:val="00E26530"/>
    <w:rsid w:val="00E26B18"/>
    <w:rsid w:val="00E2765F"/>
    <w:rsid w:val="00E3116D"/>
    <w:rsid w:val="00E3374A"/>
    <w:rsid w:val="00E3707E"/>
    <w:rsid w:val="00E374BF"/>
    <w:rsid w:val="00E37CD7"/>
    <w:rsid w:val="00E42139"/>
    <w:rsid w:val="00E42143"/>
    <w:rsid w:val="00E44048"/>
    <w:rsid w:val="00E52624"/>
    <w:rsid w:val="00E54258"/>
    <w:rsid w:val="00E561BC"/>
    <w:rsid w:val="00E602F5"/>
    <w:rsid w:val="00E644EF"/>
    <w:rsid w:val="00E70D65"/>
    <w:rsid w:val="00E716A9"/>
    <w:rsid w:val="00E73660"/>
    <w:rsid w:val="00E74984"/>
    <w:rsid w:val="00E750E8"/>
    <w:rsid w:val="00E760C4"/>
    <w:rsid w:val="00E85320"/>
    <w:rsid w:val="00E87973"/>
    <w:rsid w:val="00E91266"/>
    <w:rsid w:val="00E9426D"/>
    <w:rsid w:val="00EA0FE4"/>
    <w:rsid w:val="00EA13E4"/>
    <w:rsid w:val="00EA1D5D"/>
    <w:rsid w:val="00EA4A29"/>
    <w:rsid w:val="00EB172A"/>
    <w:rsid w:val="00EB2507"/>
    <w:rsid w:val="00EB26CB"/>
    <w:rsid w:val="00EB4BBB"/>
    <w:rsid w:val="00EC60EB"/>
    <w:rsid w:val="00EC73E3"/>
    <w:rsid w:val="00ED19BE"/>
    <w:rsid w:val="00EE1C8F"/>
    <w:rsid w:val="00EE56B6"/>
    <w:rsid w:val="00EE7083"/>
    <w:rsid w:val="00EE7231"/>
    <w:rsid w:val="00EF1953"/>
    <w:rsid w:val="00EF1F0B"/>
    <w:rsid w:val="00F02A2A"/>
    <w:rsid w:val="00F05E93"/>
    <w:rsid w:val="00F079C2"/>
    <w:rsid w:val="00F108B6"/>
    <w:rsid w:val="00F1212E"/>
    <w:rsid w:val="00F12272"/>
    <w:rsid w:val="00F12EE9"/>
    <w:rsid w:val="00F13B17"/>
    <w:rsid w:val="00F14B9A"/>
    <w:rsid w:val="00F20413"/>
    <w:rsid w:val="00F21295"/>
    <w:rsid w:val="00F23D50"/>
    <w:rsid w:val="00F2772A"/>
    <w:rsid w:val="00F27A5B"/>
    <w:rsid w:val="00F30408"/>
    <w:rsid w:val="00F33052"/>
    <w:rsid w:val="00F33D53"/>
    <w:rsid w:val="00F3656E"/>
    <w:rsid w:val="00F36EE2"/>
    <w:rsid w:val="00F37A98"/>
    <w:rsid w:val="00F411FA"/>
    <w:rsid w:val="00F41711"/>
    <w:rsid w:val="00F43005"/>
    <w:rsid w:val="00F4388F"/>
    <w:rsid w:val="00F44D2A"/>
    <w:rsid w:val="00F44FCF"/>
    <w:rsid w:val="00F50C2D"/>
    <w:rsid w:val="00F51CFF"/>
    <w:rsid w:val="00F528EE"/>
    <w:rsid w:val="00F530F5"/>
    <w:rsid w:val="00F53619"/>
    <w:rsid w:val="00F57823"/>
    <w:rsid w:val="00F604E3"/>
    <w:rsid w:val="00F63D79"/>
    <w:rsid w:val="00F669C4"/>
    <w:rsid w:val="00F71FF5"/>
    <w:rsid w:val="00F735CE"/>
    <w:rsid w:val="00F73C76"/>
    <w:rsid w:val="00F754F5"/>
    <w:rsid w:val="00F80365"/>
    <w:rsid w:val="00F844C9"/>
    <w:rsid w:val="00F849C6"/>
    <w:rsid w:val="00F90AA3"/>
    <w:rsid w:val="00F95259"/>
    <w:rsid w:val="00F95BAB"/>
    <w:rsid w:val="00FA356C"/>
    <w:rsid w:val="00FA4DBB"/>
    <w:rsid w:val="00FB0DC3"/>
    <w:rsid w:val="00FB5250"/>
    <w:rsid w:val="00FC037D"/>
    <w:rsid w:val="00FC3F0B"/>
    <w:rsid w:val="00FC502C"/>
    <w:rsid w:val="00FC5E5F"/>
    <w:rsid w:val="00FD16AE"/>
    <w:rsid w:val="00FD6FD2"/>
    <w:rsid w:val="00FD76B8"/>
    <w:rsid w:val="00FD7814"/>
    <w:rsid w:val="00FD7C8C"/>
    <w:rsid w:val="00FE22F2"/>
    <w:rsid w:val="00FE76C0"/>
    <w:rsid w:val="00FF3D21"/>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DF6F2-114E-44E0-8203-B7BBBFA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3A6"/>
    <w:pPr>
      <w:spacing w:line="360" w:lineRule="auto"/>
      <w:ind w:left="720" w:firstLine="567"/>
      <w:contextualSpacing/>
      <w:jc w:val="both"/>
    </w:pPr>
    <w:rPr>
      <w:szCs w:val="24"/>
    </w:rPr>
  </w:style>
  <w:style w:type="paragraph" w:styleId="BalloonText">
    <w:name w:val="Balloon Text"/>
    <w:aliases w:val="Diagrama1"/>
    <w:basedOn w:val="Normal"/>
    <w:link w:val="BalloonTextChar"/>
    <w:semiHidden/>
    <w:unhideWhenUsed/>
    <w:rsid w:val="001541E4"/>
    <w:rPr>
      <w:rFonts w:ascii="Tahoma" w:hAnsi="Tahoma" w:cs="Tahoma"/>
      <w:sz w:val="16"/>
      <w:szCs w:val="16"/>
    </w:rPr>
  </w:style>
  <w:style w:type="character" w:customStyle="1" w:styleId="BalloonTextChar">
    <w:name w:val="Balloon Text Char"/>
    <w:aliases w:val="Diagrama1 Char1"/>
    <w:basedOn w:val="DefaultParagraphFont"/>
    <w:link w:val="BalloonText"/>
    <w:uiPriority w:val="99"/>
    <w:semiHidden/>
    <w:rsid w:val="001541E4"/>
    <w:rPr>
      <w:rFonts w:ascii="Tahoma" w:hAnsi="Tahoma" w:cs="Tahoma"/>
      <w:sz w:val="16"/>
      <w:szCs w:val="16"/>
    </w:rPr>
  </w:style>
  <w:style w:type="paragraph" w:customStyle="1" w:styleId="BodyText1">
    <w:name w:val="Body Text1"/>
    <w:basedOn w:val="Normal"/>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Strong">
    <w:name w:val="Strong"/>
    <w:basedOn w:val="DefaultParagraphFont"/>
    <w:qFormat/>
    <w:rsid w:val="007E4B35"/>
    <w:rPr>
      <w:b/>
      <w:bCs/>
    </w:rPr>
  </w:style>
  <w:style w:type="character" w:customStyle="1" w:styleId="dlxnowrap">
    <w:name w:val="dlxnowrap"/>
    <w:basedOn w:val="DefaultParagraphFont"/>
    <w:rsid w:val="0023172B"/>
  </w:style>
  <w:style w:type="paragraph" w:styleId="Header">
    <w:name w:val="header"/>
    <w:basedOn w:val="Normal"/>
    <w:link w:val="HeaderChar"/>
    <w:uiPriority w:val="99"/>
    <w:unhideWhenUsed/>
    <w:rsid w:val="003B7C5B"/>
    <w:pPr>
      <w:tabs>
        <w:tab w:val="center" w:pos="4819"/>
        <w:tab w:val="right" w:pos="9638"/>
      </w:tabs>
    </w:pPr>
  </w:style>
  <w:style w:type="character" w:customStyle="1" w:styleId="HeaderChar">
    <w:name w:val="Header Char"/>
    <w:basedOn w:val="DefaultParagraphFont"/>
    <w:link w:val="Header"/>
    <w:uiPriority w:val="99"/>
    <w:rsid w:val="003B7C5B"/>
    <w:rPr>
      <w:sz w:val="24"/>
      <w:szCs w:val="22"/>
      <w:lang w:eastAsia="en-US"/>
    </w:rPr>
  </w:style>
  <w:style w:type="paragraph" w:styleId="Footer">
    <w:name w:val="footer"/>
    <w:basedOn w:val="Normal"/>
    <w:link w:val="FooterChar"/>
    <w:uiPriority w:val="99"/>
    <w:unhideWhenUsed/>
    <w:rsid w:val="003B7C5B"/>
    <w:pPr>
      <w:tabs>
        <w:tab w:val="center" w:pos="4819"/>
        <w:tab w:val="right" w:pos="9638"/>
      </w:tabs>
    </w:pPr>
  </w:style>
  <w:style w:type="character" w:customStyle="1" w:styleId="FooterChar">
    <w:name w:val="Footer Char"/>
    <w:basedOn w:val="DefaultParagraphFont"/>
    <w:link w:val="Footer"/>
    <w:uiPriority w:val="99"/>
    <w:rsid w:val="003B7C5B"/>
    <w:rPr>
      <w:sz w:val="24"/>
      <w:szCs w:val="22"/>
      <w:lang w:eastAsia="en-US"/>
    </w:rPr>
  </w:style>
  <w:style w:type="character" w:styleId="CommentReference">
    <w:name w:val="annotation reference"/>
    <w:basedOn w:val="DefaultParagraphFont"/>
    <w:semiHidden/>
    <w:unhideWhenUsed/>
    <w:rsid w:val="003B7C5B"/>
    <w:rPr>
      <w:sz w:val="16"/>
      <w:szCs w:val="16"/>
    </w:rPr>
  </w:style>
  <w:style w:type="paragraph" w:styleId="CommentText">
    <w:name w:val="annotation text"/>
    <w:aliases w:val="Diagrama3"/>
    <w:basedOn w:val="Normal"/>
    <w:link w:val="CommentTextChar"/>
    <w:unhideWhenUsed/>
    <w:rsid w:val="003B7C5B"/>
    <w:rPr>
      <w:sz w:val="20"/>
      <w:szCs w:val="20"/>
    </w:rPr>
  </w:style>
  <w:style w:type="character" w:customStyle="1" w:styleId="CommentTextChar">
    <w:name w:val="Comment Text Char"/>
    <w:aliases w:val="Diagrama3 Char"/>
    <w:basedOn w:val="DefaultParagraphFont"/>
    <w:link w:val="CommentText"/>
    <w:rsid w:val="003B7C5B"/>
    <w:rPr>
      <w:lang w:eastAsia="en-US"/>
    </w:rPr>
  </w:style>
  <w:style w:type="paragraph" w:styleId="CommentSubject">
    <w:name w:val="annotation subject"/>
    <w:basedOn w:val="CommentText"/>
    <w:next w:val="CommentText"/>
    <w:link w:val="CommentSubjectChar"/>
    <w:uiPriority w:val="99"/>
    <w:semiHidden/>
    <w:unhideWhenUsed/>
    <w:rsid w:val="003B7C5B"/>
    <w:rPr>
      <w:b/>
      <w:bCs/>
    </w:rPr>
  </w:style>
  <w:style w:type="character" w:customStyle="1" w:styleId="CommentSubjectChar">
    <w:name w:val="Comment Subject Char"/>
    <w:basedOn w:val="CommentTextChar"/>
    <w:link w:val="CommentSubject"/>
    <w:uiPriority w:val="99"/>
    <w:semiHidden/>
    <w:rsid w:val="003B7C5B"/>
    <w:rPr>
      <w:b/>
      <w:bCs/>
      <w:lang w:eastAsia="en-US"/>
    </w:rPr>
  </w:style>
  <w:style w:type="paragraph" w:styleId="FootnoteText">
    <w:name w:val="footnote text"/>
    <w:basedOn w:val="Normal"/>
    <w:link w:val="FootnoteTextChar"/>
    <w:rsid w:val="00AB6D6C"/>
    <w:rPr>
      <w:rFonts w:ascii="Arial" w:hAnsi="Arial"/>
      <w:sz w:val="20"/>
      <w:szCs w:val="20"/>
      <w:lang w:eastAsia="lt-LT"/>
    </w:rPr>
  </w:style>
  <w:style w:type="character" w:customStyle="1" w:styleId="FootnoteTextChar">
    <w:name w:val="Footnote Text Char"/>
    <w:basedOn w:val="DefaultParagraphFont"/>
    <w:link w:val="FootnoteText"/>
    <w:rsid w:val="00AB6D6C"/>
    <w:rPr>
      <w:rFonts w:ascii="Arial" w:hAnsi="Arial"/>
    </w:rPr>
  </w:style>
  <w:style w:type="paragraph" w:customStyle="1" w:styleId="Preformatted">
    <w:name w:val="Preformatted"/>
    <w:basedOn w:val="Normal"/>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DefaultParagraphFont"/>
    <w:rsid w:val="00711559"/>
  </w:style>
  <w:style w:type="character" w:customStyle="1" w:styleId="BalloonTextChar1">
    <w:name w:val="Balloon Text Char1"/>
    <w:aliases w:val="Diagrama1 Char"/>
    <w:semiHidden/>
    <w:rsid w:val="00B71EEB"/>
    <w:rPr>
      <w:rFonts w:ascii="Tahoma" w:hAnsi="Tahoma"/>
      <w:sz w:val="16"/>
    </w:rPr>
  </w:style>
  <w:style w:type="character" w:styleId="Hyperlink">
    <w:name w:val="Hyperlink"/>
    <w:rsid w:val="00C07001"/>
    <w:rPr>
      <w:color w:val="0000FF"/>
      <w:u w:val="single"/>
    </w:rPr>
  </w:style>
  <w:style w:type="character" w:customStyle="1" w:styleId="mdialogpagemmetadatatree01">
    <w:name w:val="m_dialogpage_m_metadatatree_01"/>
    <w:basedOn w:val="DefaultParagraphFont"/>
    <w:rsid w:val="00E16382"/>
    <w:rPr>
      <w:strike w:val="0"/>
      <w:dstrike w:val="0"/>
      <w:u w:val="none"/>
      <w:effect w:val="none"/>
    </w:rPr>
  </w:style>
  <w:style w:type="character" w:styleId="FootnoteReference">
    <w:name w:val="footnote reference"/>
    <w:rsid w:val="00116BFA"/>
    <w:rPr>
      <w:rFonts w:cs="Times New Roman"/>
      <w:vertAlign w:val="superscript"/>
    </w:rPr>
  </w:style>
  <w:style w:type="paragraph" w:customStyle="1" w:styleId="Default">
    <w:name w:val="Default"/>
    <w:rsid w:val="00116BFA"/>
    <w:pPr>
      <w:autoSpaceDE w:val="0"/>
      <w:autoSpaceDN w:val="0"/>
      <w:adjustRightInd w:val="0"/>
    </w:pPr>
    <w:rPr>
      <w:rFonts w:eastAsia="Times New Roman"/>
      <w:color w:val="000000"/>
      <w:sz w:val="24"/>
      <w:szCs w:val="24"/>
    </w:rPr>
  </w:style>
  <w:style w:type="paragraph" w:customStyle="1" w:styleId="tajtip">
    <w:name w:val="tajtip"/>
    <w:basedOn w:val="Normal"/>
    <w:rsid w:val="00A66135"/>
    <w:pPr>
      <w:spacing w:before="100" w:beforeAutospacing="1" w:after="100" w:afterAutospacing="1"/>
    </w:pPr>
    <w:rPr>
      <w:rFonts w:eastAsia="Times New Roman"/>
      <w:szCs w:val="24"/>
      <w:lang w:val="en-US"/>
    </w:rPr>
  </w:style>
  <w:style w:type="paragraph" w:styleId="PlainText">
    <w:name w:val="Plain Text"/>
    <w:basedOn w:val="Normal"/>
    <w:link w:val="PlainTextChar"/>
    <w:uiPriority w:val="99"/>
    <w:unhideWhenUsed/>
    <w:rsid w:val="00D413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4134D"/>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D4134D"/>
    <w:rPr>
      <w:color w:val="800080" w:themeColor="followedHyperlink"/>
      <w:u w:val="single"/>
    </w:rPr>
  </w:style>
  <w:style w:type="character" w:customStyle="1" w:styleId="Bodytext2">
    <w:name w:val="Body text (2)_"/>
    <w:basedOn w:val="DefaultParagraphFont"/>
    <w:rsid w:val="002A6B44"/>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2A6B4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Bodytext2"/>
    <w:rsid w:val="00A07CA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Italic">
    <w:name w:val="Body text (2) + Italic"/>
    <w:basedOn w:val="Bodytext2"/>
    <w:rsid w:val="00650FFC"/>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9062">
      <w:bodyDiv w:val="1"/>
      <w:marLeft w:val="0"/>
      <w:marRight w:val="0"/>
      <w:marTop w:val="0"/>
      <w:marBottom w:val="0"/>
      <w:divBdr>
        <w:top w:val="none" w:sz="0" w:space="0" w:color="auto"/>
        <w:left w:val="none" w:sz="0" w:space="0" w:color="auto"/>
        <w:bottom w:val="none" w:sz="0" w:space="0" w:color="auto"/>
        <w:right w:val="none" w:sz="0" w:space="0" w:color="auto"/>
      </w:divBdr>
    </w:div>
    <w:div w:id="1031608240">
      <w:bodyDiv w:val="1"/>
      <w:marLeft w:val="0"/>
      <w:marRight w:val="0"/>
      <w:marTop w:val="0"/>
      <w:marBottom w:val="0"/>
      <w:divBdr>
        <w:top w:val="none" w:sz="0" w:space="0" w:color="auto"/>
        <w:left w:val="none" w:sz="0" w:space="0" w:color="auto"/>
        <w:bottom w:val="none" w:sz="0" w:space="0" w:color="auto"/>
        <w:right w:val="none" w:sz="0" w:space="0" w:color="auto"/>
      </w:divBdr>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398555087">
      <w:bodyDiv w:val="1"/>
      <w:marLeft w:val="0"/>
      <w:marRight w:val="0"/>
      <w:marTop w:val="0"/>
      <w:marBottom w:val="0"/>
      <w:divBdr>
        <w:top w:val="none" w:sz="0" w:space="0" w:color="auto"/>
        <w:left w:val="none" w:sz="0" w:space="0" w:color="auto"/>
        <w:bottom w:val="none" w:sz="0" w:space="0" w:color="auto"/>
        <w:right w:val="none" w:sz="0" w:space="0" w:color="auto"/>
      </w:divBdr>
    </w:div>
    <w:div w:id="1422067481">
      <w:bodyDiv w:val="1"/>
      <w:marLeft w:val="0"/>
      <w:marRight w:val="0"/>
      <w:marTop w:val="0"/>
      <w:marBottom w:val="0"/>
      <w:divBdr>
        <w:top w:val="none" w:sz="0" w:space="0" w:color="auto"/>
        <w:left w:val="none" w:sz="0" w:space="0" w:color="auto"/>
        <w:bottom w:val="none" w:sz="0" w:space="0" w:color="auto"/>
        <w:right w:val="none" w:sz="0" w:space="0" w:color="auto"/>
      </w:divBdr>
    </w:div>
    <w:div w:id="20712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cmin.lrv.lt/uploads/socmin/documents/files/veikla/planavimo-dokumentai/2018-01-29%20Al-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A9D7-A59D-47A0-996F-86AA20DA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7372</Words>
  <Characters>4203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Ramune</cp:lastModifiedBy>
  <cp:revision>2</cp:revision>
  <dcterms:created xsi:type="dcterms:W3CDTF">2020-02-26T11:32:00Z</dcterms:created>
  <dcterms:modified xsi:type="dcterms:W3CDTF">2020-02-26T11:32:00Z</dcterms:modified>
</cp:coreProperties>
</file>