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3C8" w:rsidRDefault="00F733C8" w:rsidP="00F733C8">
      <w:bookmarkStart w:id="0" w:name="_GoBack"/>
      <w:bookmarkEnd w:id="0"/>
    </w:p>
    <w:p w:rsidR="00F733C8" w:rsidRDefault="00F733C8" w:rsidP="00F733C8">
      <w:pPr>
        <w:ind w:firstLine="851"/>
        <w:jc w:val="right"/>
      </w:pPr>
      <w:r>
        <w:t xml:space="preserve">Priedas </w:t>
      </w:r>
    </w:p>
    <w:p w:rsidR="00FB58EB" w:rsidRDefault="00FB58EB" w:rsidP="00F733C8">
      <w:pPr>
        <w:ind w:firstLine="851"/>
        <w:jc w:val="right"/>
      </w:pPr>
      <w:r>
        <w:t>2016-05-12 Nr</w:t>
      </w:r>
      <w:r w:rsidRPr="00D6651E">
        <w:t>. L-01-3125</w:t>
      </w:r>
    </w:p>
    <w:p w:rsidR="00F733C8" w:rsidRDefault="00F733C8" w:rsidP="00F733C8">
      <w:pPr>
        <w:ind w:firstLine="851"/>
        <w:jc w:val="right"/>
      </w:pPr>
    </w:p>
    <w:p w:rsidR="00F733C8" w:rsidRDefault="00F733C8" w:rsidP="00F733C8">
      <w:pPr>
        <w:spacing w:line="320" w:lineRule="exact"/>
        <w:jc w:val="center"/>
      </w:pPr>
      <w:r>
        <w:rPr>
          <w:b/>
        </w:rPr>
        <w:t>KORUPCIJOS RIZKOS ANALIZĖS IŠVADOJE PATEIKTŲ REKOMENDACIJŲ STEBĖSENA</w:t>
      </w:r>
    </w:p>
    <w:p w:rsidR="00F733C8" w:rsidRDefault="00F733C8" w:rsidP="00F733C8">
      <w:pPr>
        <w:ind w:firstLine="851"/>
        <w:jc w:val="right"/>
      </w:pPr>
    </w:p>
    <w:p w:rsidR="00F733C8" w:rsidRDefault="00F733C8" w:rsidP="00F733C8">
      <w:pPr>
        <w:ind w:firstLine="851"/>
        <w:jc w:val="right"/>
      </w:pPr>
    </w:p>
    <w:tbl>
      <w:tblPr>
        <w:tblStyle w:val="TableGrid"/>
        <w:tblW w:w="0" w:type="auto"/>
        <w:tblLook w:val="04A0" w:firstRow="1" w:lastRow="0" w:firstColumn="1" w:lastColumn="0" w:noHBand="0" w:noVBand="1"/>
      </w:tblPr>
      <w:tblGrid>
        <w:gridCol w:w="3286"/>
        <w:gridCol w:w="3292"/>
        <w:gridCol w:w="3276"/>
      </w:tblGrid>
      <w:tr w:rsidR="00F733C8" w:rsidTr="00F733C8">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center"/>
              <w:rPr>
                <w:rFonts w:ascii="Times New Roman" w:hAnsi="Times New Roman"/>
                <w:sz w:val="24"/>
              </w:rPr>
            </w:pPr>
            <w:r>
              <w:rPr>
                <w:rFonts w:ascii="Times New Roman" w:hAnsi="Times New Roman"/>
                <w:b/>
                <w:sz w:val="24"/>
              </w:rPr>
              <w:t>Specialiųjų tyrimų tarnybos pateikti pasiūlymai</w:t>
            </w: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center"/>
              <w:rPr>
                <w:rFonts w:ascii="Times New Roman" w:hAnsi="Times New Roman"/>
                <w:sz w:val="24"/>
              </w:rPr>
            </w:pPr>
            <w:r>
              <w:rPr>
                <w:rFonts w:ascii="Times New Roman" w:hAnsi="Times New Roman"/>
                <w:b/>
                <w:sz w:val="24"/>
              </w:rPr>
              <w:t>VDI Plano priemonės</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center"/>
              <w:rPr>
                <w:rFonts w:ascii="Times New Roman" w:hAnsi="Times New Roman"/>
                <w:sz w:val="24"/>
              </w:rPr>
            </w:pPr>
            <w:r>
              <w:rPr>
                <w:rFonts w:ascii="Times New Roman" w:hAnsi="Times New Roman"/>
                <w:b/>
                <w:sz w:val="24"/>
              </w:rPr>
              <w:t>STT komentaras</w:t>
            </w:r>
          </w:p>
        </w:tc>
      </w:tr>
      <w:tr w:rsidR="00F733C8" w:rsidTr="00F733C8">
        <w:tc>
          <w:tcPr>
            <w:tcW w:w="98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i/>
                <w:sz w:val="24"/>
              </w:rPr>
              <w:t xml:space="preserve">1.Dėl korupcijos rizikos darbuotojų saugą ir sveikatą bei darbo santykius reglamentuojančių įstatymų ir kitų norminių teisės aktų reikalavimų </w:t>
            </w:r>
            <w:r>
              <w:rPr>
                <w:rFonts w:ascii="Times New Roman" w:hAnsi="Times New Roman"/>
                <w:i/>
                <w:sz w:val="24"/>
                <w:shd w:val="clear" w:color="auto" w:fill="FFFFFF"/>
              </w:rPr>
              <w:t>priežiūros</w:t>
            </w:r>
            <w:r>
              <w:rPr>
                <w:rFonts w:ascii="Times New Roman" w:hAnsi="Times New Roman"/>
                <w:i/>
                <w:sz w:val="24"/>
              </w:rPr>
              <w:t xml:space="preserve"> srityje:</w:t>
            </w:r>
          </w:p>
        </w:tc>
      </w:tr>
      <w:tr w:rsidR="00F733C8" w:rsidRPr="008D202D" w:rsidTr="00F733C8">
        <w:tc>
          <w:tcPr>
            <w:tcW w:w="32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 xml:space="preserve">1.1. Atsižvelgiant į pastabas, išdėstytas korupcijos rizikos analizės 1 skyriaus 1 punkte, parengti teisės aktą (ar papildyti korupcijos rizikos analizės 1 skyriaus 1 punkte minimus dabar galiojančius VDI teisės aktus), detaliau reglamentuojantį VDI sudaromų </w:t>
            </w:r>
            <w:r>
              <w:rPr>
                <w:rFonts w:ascii="Times New Roman" w:eastAsiaTheme="minorHAnsi" w:hAnsi="Times New Roman"/>
                <w:sz w:val="24"/>
              </w:rPr>
              <w:t xml:space="preserve">planuojamų patikrinti ūkio subjektų sąrašų </w:t>
            </w:r>
            <w:r>
              <w:rPr>
                <w:rFonts w:ascii="Times New Roman" w:hAnsi="Times New Roman"/>
                <w:sz w:val="24"/>
              </w:rPr>
              <w:t xml:space="preserve">rengimo tvarką, stiprinti ūkio subjektų pasirinkimo tikrinti pagrįstumo vidaus kontrolę. Taip pat siūlome pakoreguoti </w:t>
            </w:r>
            <w:r>
              <w:rPr>
                <w:rFonts w:ascii="Times New Roman" w:eastAsiaTheme="minorHAnsi" w:hAnsi="Times New Roman"/>
                <w:sz w:val="24"/>
              </w:rPr>
              <w:t xml:space="preserve">rizikos priežasčių ir (ar) požymių rangavimą (arba rizikingumo vertinimo algoritmą ar rizikingumo vertinimo intervalus), siekiant sumažinti </w:t>
            </w:r>
            <w:r>
              <w:rPr>
                <w:rFonts w:ascii="Times New Roman" w:hAnsi="Times New Roman"/>
                <w:sz w:val="24"/>
              </w:rPr>
              <w:t>vertinimo intervalo „tikrinti“ imtį.</w:t>
            </w: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1.1.1 Paruošti Lietuvos Respublikos valstybės darbo inspekcijos veiklos valdymo metodikos pakeitimus, detaliau reglamentuoti rizikingiausių ūkio subjektų pasirinkimo planiniams patikrinimams tvarką.</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8D202D">
              <w:rPr>
                <w:rFonts w:ascii="Times New Roman" w:hAnsi="Times New Roman"/>
                <w:b/>
                <w:sz w:val="24"/>
              </w:rPr>
              <w:t>Rekomendacija įgyvendinta.</w:t>
            </w:r>
            <w:r>
              <w:rPr>
                <w:rFonts w:ascii="Times New Roman" w:hAnsi="Times New Roman"/>
                <w:sz w:val="24"/>
              </w:rPr>
              <w:t xml:space="preserve"> 2015 m. birželio 30 d. įsakymu Nr. V-221 patvirtinti VDI veiklos valdymo metodikos, patvirtintos 2013 m. rugpjūčio 27 d. įsakymu Nr. V-3 pakeitimai. Šiais pakeitimais sukurta automatinės rizikingiausių ūkio subjektų parinkimo planiniam patikrinimui sistemos teisinė bazė, detaliai reglamentuojant tikrintinų ūkio subjektų sąrašo rengimo tvarką bei stiprinant ūkio subjektų pasirinkimo tikrinimui pagrįstumo vidaus kontrolę. </w:t>
            </w:r>
            <w:r w:rsidRPr="008D202D">
              <w:rPr>
                <w:rFonts w:ascii="Times New Roman" w:hAnsi="Times New Roman"/>
                <w:b/>
                <w:sz w:val="24"/>
              </w:rPr>
              <w:t>STT pastabų neturi.</w:t>
            </w:r>
          </w:p>
        </w:tc>
      </w:tr>
      <w:tr w:rsidR="00F733C8" w:rsidRPr="008D202D"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1.1.2. Sukurti automatinę rizikingiausių ūkio subjektų pasirinkimo planiniams patikrinimams sistemą, šiam tikslui vykstant VDI Kokybės vadybos sistemos programinę įrangą.</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8D202D">
              <w:rPr>
                <w:rFonts w:ascii="Times New Roman" w:hAnsi="Times New Roman"/>
                <w:b/>
                <w:sz w:val="24"/>
              </w:rPr>
              <w:t>Rekomendacijos įgyvendinimas tęsiamas.</w:t>
            </w:r>
            <w:r>
              <w:rPr>
                <w:rFonts w:ascii="Times New Roman" w:hAnsi="Times New Roman"/>
                <w:sz w:val="24"/>
              </w:rPr>
              <w:t xml:space="preserve"> 2016 m. pagal finansines galimybes bus atliekami programinės įrangos pakeitimai, kuriuos įdiegus, tikrintinų ūkio subjektų sąrašai bus sudaromi tik automatiniu būdu. </w:t>
            </w:r>
            <w:r w:rsidRPr="008D202D">
              <w:rPr>
                <w:rFonts w:ascii="Times New Roman" w:hAnsi="Times New Roman"/>
                <w:b/>
                <w:sz w:val="24"/>
              </w:rPr>
              <w:t>STT pastabų neturi.</w:t>
            </w:r>
            <w:r>
              <w:rPr>
                <w:rFonts w:ascii="Times New Roman" w:hAnsi="Times New Roman"/>
                <w:sz w:val="24"/>
              </w:rPr>
              <w:t xml:space="preserve"> </w:t>
            </w:r>
          </w:p>
        </w:tc>
      </w:tr>
      <w:tr w:rsidR="00F733C8" w:rsidRPr="009D1792"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1.1.3. Vystyti VDI Ūkio subjektų rizikingumo vertinimo sistemą:</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Priemonės įgyvendinimas tęsiamas 2016 m. pagal finansines galimybes</w:t>
            </w:r>
          </w:p>
        </w:tc>
      </w:tr>
      <w:tr w:rsidR="00F733C8" w:rsidRPr="009D1792"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 xml:space="preserve">1.1.3.1. Atlikti viešąjį pirkimą Lietuvos Respublikos valstybės darbo inspekcijos ūkio subjektų rizikingumo vertinimo metodikos bei Lietuvos Respublikos valstybės darbo inspekcijos ūkio subjektų darbuotojų saugos ir sveikatos ir nelegalaus darbo rizikingumo vertinimo algoritmų ir kriterijų aprašo (toliau– nurodytieji </w:t>
            </w:r>
            <w:r>
              <w:rPr>
                <w:rFonts w:ascii="Times New Roman" w:hAnsi="Times New Roman"/>
                <w:sz w:val="24"/>
              </w:rPr>
              <w:lastRenderedPageBreak/>
              <w:t>dokumentai) pakeitimų paslaugoms įsigyti.</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8D202D">
              <w:rPr>
                <w:rFonts w:ascii="Times New Roman" w:hAnsi="Times New Roman"/>
                <w:b/>
                <w:sz w:val="24"/>
              </w:rPr>
              <w:lastRenderedPageBreak/>
              <w:t>Rekomendacija turėjo būti įgyvendinta iki 2015-07-01.</w:t>
            </w:r>
            <w:r>
              <w:rPr>
                <w:rFonts w:ascii="Times New Roman" w:hAnsi="Times New Roman"/>
                <w:sz w:val="24"/>
              </w:rPr>
              <w:t xml:space="preserve"> </w:t>
            </w:r>
          </w:p>
          <w:p w:rsidR="00F733C8" w:rsidRDefault="00F733C8" w:rsidP="006334C4">
            <w:pPr>
              <w:jc w:val="both"/>
              <w:rPr>
                <w:rFonts w:ascii="Times New Roman" w:hAnsi="Times New Roman"/>
                <w:sz w:val="24"/>
              </w:rPr>
            </w:pPr>
            <w:r>
              <w:rPr>
                <w:rFonts w:ascii="Times New Roman" w:hAnsi="Times New Roman"/>
                <w:sz w:val="24"/>
              </w:rPr>
              <w:t>Iki 2015-07-01 viešasis pirkimas nebuvo atliktas dėl finansinių lėšų stokos.</w:t>
            </w:r>
          </w:p>
          <w:p w:rsidR="00F733C8" w:rsidRDefault="00F733C8" w:rsidP="006334C4">
            <w:pPr>
              <w:jc w:val="both"/>
              <w:rPr>
                <w:rFonts w:ascii="Times New Roman" w:hAnsi="Times New Roman"/>
                <w:sz w:val="24"/>
              </w:rPr>
            </w:pPr>
          </w:p>
        </w:tc>
      </w:tr>
      <w:tr w:rsidR="00F733C8" w:rsidRPr="00E0113D"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1.1.3.2. Parengti nurodytųjų dokumentų pakeitimus ūkio subjektų rizikingumo priežasčių ir (ar) požymių rangavimui, taip pat rizikingumo vertinimo algoritmui ar rizikingumo vertinimo intervalo nustatymui tobulinti.</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8D202D">
              <w:rPr>
                <w:rFonts w:ascii="Times New Roman" w:hAnsi="Times New Roman"/>
                <w:b/>
                <w:sz w:val="24"/>
              </w:rPr>
              <w:t>Rekomendacija turėjo būti įgyvendinta iki 2015-</w:t>
            </w:r>
            <w:r>
              <w:rPr>
                <w:rFonts w:ascii="Times New Roman" w:hAnsi="Times New Roman"/>
                <w:b/>
                <w:sz w:val="24"/>
              </w:rPr>
              <w:t>12</w:t>
            </w:r>
            <w:r w:rsidRPr="008D202D">
              <w:rPr>
                <w:rFonts w:ascii="Times New Roman" w:hAnsi="Times New Roman"/>
                <w:b/>
                <w:sz w:val="24"/>
              </w:rPr>
              <w:t>-01.</w:t>
            </w:r>
            <w:r>
              <w:rPr>
                <w:rFonts w:ascii="Times New Roman" w:hAnsi="Times New Roman"/>
                <w:sz w:val="24"/>
              </w:rPr>
              <w:t xml:space="preserve"> </w:t>
            </w:r>
          </w:p>
          <w:p w:rsidR="00F733C8" w:rsidRDefault="00F733C8" w:rsidP="006334C4">
            <w:pPr>
              <w:jc w:val="both"/>
              <w:rPr>
                <w:rFonts w:ascii="Times New Roman" w:hAnsi="Times New Roman"/>
                <w:sz w:val="24"/>
              </w:rPr>
            </w:pPr>
            <w:r>
              <w:rPr>
                <w:rFonts w:ascii="Times New Roman" w:hAnsi="Times New Roman"/>
                <w:sz w:val="24"/>
              </w:rPr>
              <w:t>Iki 2015-12-01 viešasis pirkimas nebuvo atliktas dėl finansinių lėšų stokos.</w:t>
            </w:r>
          </w:p>
        </w:tc>
      </w:tr>
      <w:tr w:rsidR="00F733C8" w:rsidRPr="00E0113D"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1.1.3.3 Pakoreguoti pagal nurodytųjų dokumentų parengtus pakeitimus ūkio subjektų rizikingumo priežasčių ir (ar) požymių rangavimą, taip pat rizikingumo vertinimo algoritmą ar rizikingumo vertinimo intervalus.</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46B4A" w:rsidP="00F46B4A">
            <w:pPr>
              <w:jc w:val="both"/>
              <w:rPr>
                <w:rFonts w:ascii="Times New Roman" w:hAnsi="Times New Roman"/>
                <w:sz w:val="24"/>
              </w:rPr>
            </w:pPr>
            <w:r w:rsidRPr="008D202D">
              <w:rPr>
                <w:rFonts w:ascii="Times New Roman" w:hAnsi="Times New Roman"/>
                <w:b/>
                <w:sz w:val="24"/>
              </w:rPr>
              <w:t>Rekomendacija turėjo būti įgyvendinta iki 201</w:t>
            </w:r>
            <w:r>
              <w:rPr>
                <w:rFonts w:ascii="Times New Roman" w:hAnsi="Times New Roman"/>
                <w:b/>
                <w:sz w:val="24"/>
              </w:rPr>
              <w:t>6</w:t>
            </w:r>
            <w:r w:rsidRPr="008D202D">
              <w:rPr>
                <w:rFonts w:ascii="Times New Roman" w:hAnsi="Times New Roman"/>
                <w:b/>
                <w:sz w:val="24"/>
              </w:rPr>
              <w:t>-</w:t>
            </w:r>
            <w:r>
              <w:rPr>
                <w:rFonts w:ascii="Times New Roman" w:hAnsi="Times New Roman"/>
                <w:b/>
                <w:sz w:val="24"/>
              </w:rPr>
              <w:t>04</w:t>
            </w:r>
            <w:r w:rsidRPr="008D202D">
              <w:rPr>
                <w:rFonts w:ascii="Times New Roman" w:hAnsi="Times New Roman"/>
                <w:b/>
                <w:sz w:val="24"/>
              </w:rPr>
              <w:t>-01.</w:t>
            </w:r>
            <w:r>
              <w:rPr>
                <w:rFonts w:ascii="Times New Roman" w:hAnsi="Times New Roman"/>
                <w:b/>
                <w:sz w:val="24"/>
              </w:rPr>
              <w:t xml:space="preserve"> </w:t>
            </w:r>
            <w:r w:rsidR="00F733C8">
              <w:rPr>
                <w:rFonts w:ascii="Times New Roman" w:hAnsi="Times New Roman"/>
                <w:sz w:val="24"/>
              </w:rPr>
              <w:t>Kadangi nebuvo įvykdytas 1.3.1.1 punkte numatytas viešasis pirkimas, todėl ūkio subjektų rizikingumo vertinimo metodikos ir algoritmų pakeitimas neatliktas.</w:t>
            </w:r>
          </w:p>
        </w:tc>
      </w:tr>
      <w:tr w:rsidR="00F733C8" w:rsidRPr="00E0113D" w:rsidTr="00F733C8">
        <w:tc>
          <w:tcPr>
            <w:tcW w:w="32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bCs/>
                <w:color w:val="000000"/>
                <w:sz w:val="24"/>
              </w:rPr>
              <w:t xml:space="preserve">1.2. </w:t>
            </w:r>
            <w:r>
              <w:rPr>
                <w:rFonts w:ascii="Times New Roman" w:hAnsi="Times New Roman"/>
                <w:sz w:val="24"/>
              </w:rPr>
              <w:t>Atsižvelgiant į pastabas, išdėstytas korupcijos rizikos analizės 1 skyriaus 2 ir 3 punktuose, stiprinti VDI vidaus kontrolės efektyvumą ir užtikrinti, kad ūkio subjekto veiklos patikrinimai būtų atliekami tik turint teisės aktų nustatytą pavedimą (ar nustatyto turinio pavedimą).</w:t>
            </w: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1.2.1. Paruošti ir pateikti Socialinės pasaugos ir darbo ministerijai pasiūlymus, dėl Lietuvos Respublikos viešojo administravimo įstatymo pakeitimo, numatant, kad šio įstatymo ūkio subjektų priežiūros nuostatos būtų rekomendacinio pobūdžio vykdant nelegalaus (neteisėto) darbo Valstybės kontrolę.</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4D3923">
              <w:rPr>
                <w:rFonts w:ascii="Times New Roman" w:hAnsi="Times New Roman"/>
                <w:b/>
                <w:sz w:val="24"/>
              </w:rPr>
              <w:t>Rekomendacija įgyvendinta.</w:t>
            </w:r>
            <w:r>
              <w:rPr>
                <w:rFonts w:ascii="Times New Roman" w:hAnsi="Times New Roman"/>
                <w:sz w:val="24"/>
              </w:rPr>
              <w:t xml:space="preserve"> 2015 m. birželio 22 d. raštu Nr. (15)SD-4187, SADM pateikti Lietuvos Respublikos viešojo administravimo įstatymo 2, 8, 36</w:t>
            </w:r>
            <w:r w:rsidRPr="00ED1C46">
              <w:rPr>
                <w:rFonts w:ascii="Times New Roman" w:hAnsi="Times New Roman"/>
                <w:sz w:val="24"/>
                <w:vertAlign w:val="superscript"/>
              </w:rPr>
              <w:t>1</w:t>
            </w:r>
            <w:r>
              <w:rPr>
                <w:rFonts w:ascii="Times New Roman" w:hAnsi="Times New Roman"/>
                <w:sz w:val="24"/>
              </w:rPr>
              <w:t>, 36</w:t>
            </w:r>
            <w:r w:rsidRPr="00ED1C46">
              <w:rPr>
                <w:rFonts w:ascii="Times New Roman" w:hAnsi="Times New Roman"/>
                <w:sz w:val="24"/>
                <w:vertAlign w:val="superscript"/>
              </w:rPr>
              <w:t>2</w:t>
            </w:r>
            <w:r>
              <w:rPr>
                <w:rFonts w:ascii="Times New Roman" w:hAnsi="Times New Roman"/>
                <w:sz w:val="24"/>
              </w:rPr>
              <w:t xml:space="preserve"> straipsnių pakeitimo ir papildymo 36</w:t>
            </w:r>
            <w:r w:rsidRPr="00ED1C46">
              <w:rPr>
                <w:rFonts w:ascii="Times New Roman" w:hAnsi="Times New Roman"/>
                <w:sz w:val="24"/>
                <w:vertAlign w:val="superscript"/>
              </w:rPr>
              <w:t>8</w:t>
            </w:r>
            <w:r>
              <w:rPr>
                <w:rFonts w:ascii="Times New Roman" w:hAnsi="Times New Roman"/>
                <w:sz w:val="24"/>
              </w:rPr>
              <w:t>, 36</w:t>
            </w:r>
            <w:r w:rsidRPr="00ED1C46">
              <w:rPr>
                <w:rFonts w:ascii="Times New Roman" w:hAnsi="Times New Roman"/>
                <w:sz w:val="24"/>
                <w:vertAlign w:val="superscript"/>
              </w:rPr>
              <w:t>9</w:t>
            </w:r>
            <w:r>
              <w:rPr>
                <w:rFonts w:ascii="Times New Roman" w:hAnsi="Times New Roman"/>
                <w:sz w:val="24"/>
              </w:rPr>
              <w:t xml:space="preserve"> straipsniais įstatymo projektas. </w:t>
            </w:r>
            <w:r w:rsidRPr="00ED1C46">
              <w:rPr>
                <w:rFonts w:ascii="Times New Roman" w:hAnsi="Times New Roman"/>
                <w:b/>
                <w:sz w:val="24"/>
              </w:rPr>
              <w:t>STT pastabų neturi.</w:t>
            </w:r>
          </w:p>
        </w:tc>
      </w:tr>
      <w:tr w:rsidR="00F733C8" w:rsidRPr="009D1792"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 xml:space="preserve">1.2.2. Patobulinti VDI darbo sąlygų darbo vietose nuolatinės stebėsenos informacinę sistemą (DSS IS) dėl užduočių turinio ir tvarkos. </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103A36">
              <w:rPr>
                <w:rFonts w:ascii="Times New Roman" w:hAnsi="Times New Roman"/>
                <w:b/>
                <w:sz w:val="24"/>
              </w:rPr>
              <w:t>Rekomendacija įgyvendinta</w:t>
            </w:r>
            <w:r>
              <w:rPr>
                <w:rFonts w:ascii="Times New Roman" w:hAnsi="Times New Roman"/>
                <w:sz w:val="24"/>
              </w:rPr>
              <w:t>. DSS IS įdiegti pakeitimai dėl naujų dokumentų formų surašymo: pavedimo atlikti patikrinimą, pavedimo atlikti užduotį ir pavedimo atlikti inspekcinį patikrinimą.</w:t>
            </w:r>
          </w:p>
          <w:p w:rsidR="00F733C8" w:rsidRDefault="00F733C8" w:rsidP="006334C4">
            <w:pPr>
              <w:jc w:val="both"/>
              <w:rPr>
                <w:rFonts w:ascii="Times New Roman" w:hAnsi="Times New Roman"/>
                <w:sz w:val="24"/>
              </w:rPr>
            </w:pPr>
            <w:r w:rsidRPr="00D241EE">
              <w:rPr>
                <w:rFonts w:ascii="Times New Roman" w:hAnsi="Times New Roman"/>
                <w:b/>
                <w:sz w:val="24"/>
              </w:rPr>
              <w:t>STT pastabų neturi</w:t>
            </w:r>
            <w:r>
              <w:rPr>
                <w:rFonts w:ascii="Times New Roman" w:hAnsi="Times New Roman"/>
                <w:sz w:val="24"/>
              </w:rPr>
              <w:t xml:space="preserve">.  </w:t>
            </w:r>
          </w:p>
        </w:tc>
      </w:tr>
      <w:tr w:rsidR="00F733C8" w:rsidRPr="00D241EE"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Rekomendacija įgyvendinta.</w:t>
            </w:r>
          </w:p>
          <w:p w:rsidR="00F733C8" w:rsidRDefault="00F733C8" w:rsidP="006334C4">
            <w:pPr>
              <w:jc w:val="both"/>
              <w:rPr>
                <w:rFonts w:ascii="Times New Roman" w:hAnsi="Times New Roman"/>
                <w:sz w:val="24"/>
              </w:rPr>
            </w:pPr>
            <w:r>
              <w:rPr>
                <w:rFonts w:ascii="Times New Roman" w:hAnsi="Times New Roman"/>
                <w:sz w:val="24"/>
              </w:rPr>
              <w:t>1.2.3. Užtikrinti, vykdant Lietuvos Respublikos vyriausiojo valstybinio darbo inspektoriaus (LR VVDI) nustatyta tvarka vidaus kontrolę, kad ūkio subjekto veiklos patikrinimai būtų atliekami tik užduočių skyrimo nustatyta tvarka</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D241EE">
              <w:rPr>
                <w:rFonts w:ascii="Times New Roman" w:hAnsi="Times New Roman"/>
                <w:b/>
                <w:sz w:val="24"/>
              </w:rPr>
              <w:t>Rekomendacija įgyventa.</w:t>
            </w:r>
            <w:r>
              <w:rPr>
                <w:rFonts w:ascii="Times New Roman" w:hAnsi="Times New Roman"/>
                <w:sz w:val="24"/>
              </w:rPr>
              <w:t xml:space="preserve"> Teritorinių skyrių vedėjai pateikė informaciją, kad ūkio subjektų patikrinimai atliekami tik pagal nustatytą užduočių skyrimo tvarką. Pažeidimų užfiksuota nebuvo. teisės skyrius atlikdamas nelegalaus darbo tyrimo aktų analizę, tikrina, ar patikrinimai </w:t>
            </w:r>
            <w:r>
              <w:rPr>
                <w:rFonts w:ascii="Times New Roman" w:hAnsi="Times New Roman"/>
                <w:sz w:val="24"/>
              </w:rPr>
              <w:lastRenderedPageBreak/>
              <w:t xml:space="preserve">atliekami pagal patvirtintą užduočių skyrimo tvarką. atlikus nelegalaus darbo patikrinimų analizę nustatyta, kad visi patikrinimai buvo atlikti pagal išrašytus pavedimus. </w:t>
            </w:r>
            <w:r w:rsidRPr="00D241EE">
              <w:rPr>
                <w:rFonts w:ascii="Times New Roman" w:hAnsi="Times New Roman"/>
                <w:b/>
                <w:sz w:val="24"/>
              </w:rPr>
              <w:t>STT pastabų neturi.</w:t>
            </w:r>
            <w:r>
              <w:rPr>
                <w:rFonts w:ascii="Times New Roman" w:hAnsi="Times New Roman"/>
                <w:sz w:val="24"/>
              </w:rPr>
              <w:t xml:space="preserve"> </w:t>
            </w:r>
          </w:p>
        </w:tc>
      </w:tr>
      <w:tr w:rsidR="00F733C8" w:rsidRPr="00D241EE" w:rsidTr="00F733C8">
        <w:tc>
          <w:tcPr>
            <w:tcW w:w="32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lastRenderedPageBreak/>
              <w:t>1.3. Atsižvelgiant į pastabas, išdėstytas korupcijos rizikos analizės 1 skyriaus 4 punkte, stiprinti VNMPI vidaus kontrolės efektyvumą ir užtikrinti, kad ūkio subjekto veiklos patikrinimai būtų atliekami naudojant kontrolinius klausimynus.</w:t>
            </w:r>
          </w:p>
          <w:p w:rsidR="00F733C8" w:rsidRDefault="00F733C8" w:rsidP="006334C4">
            <w:pPr>
              <w:jc w:val="both"/>
              <w:rPr>
                <w:rFonts w:ascii="Times New Roman" w:hAnsi="Times New Roman"/>
                <w:sz w:val="24"/>
              </w:rPr>
            </w:pPr>
          </w:p>
          <w:p w:rsidR="00F733C8" w:rsidRDefault="00F733C8" w:rsidP="006334C4">
            <w:pPr>
              <w:jc w:val="both"/>
              <w:rPr>
                <w:rFonts w:ascii="Times New Roman" w:hAnsi="Times New Roman"/>
                <w:sz w:val="24"/>
              </w:rPr>
            </w:pPr>
          </w:p>
          <w:p w:rsidR="00F733C8" w:rsidRDefault="00F733C8" w:rsidP="006334C4">
            <w:pPr>
              <w:jc w:val="both"/>
              <w:rPr>
                <w:rFonts w:ascii="Times New Roman" w:hAnsi="Times New Roman"/>
                <w:sz w:val="24"/>
              </w:rPr>
            </w:pPr>
          </w:p>
          <w:p w:rsidR="00F733C8" w:rsidRDefault="00F733C8" w:rsidP="006334C4">
            <w:pPr>
              <w:jc w:val="both"/>
              <w:rPr>
                <w:rFonts w:ascii="Times New Roman" w:hAnsi="Times New Roman"/>
                <w:sz w:val="24"/>
              </w:rPr>
            </w:pPr>
          </w:p>
          <w:p w:rsidR="00F733C8" w:rsidRDefault="00F733C8" w:rsidP="006334C4">
            <w:pPr>
              <w:jc w:val="both"/>
              <w:rPr>
                <w:rFonts w:ascii="Times New Roman" w:hAnsi="Times New Roman"/>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1.3.1. Užtikrinti, vykdant LR VVDI nustatyta tvarka vidaus kontrolę, kad ūkio subjektų veiklos patikrinimai visais teisės aktų nustatytais atvejais būtų vykdomi naudojant kontrolinius klausimynus.</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D241EE">
              <w:rPr>
                <w:rFonts w:ascii="Times New Roman" w:hAnsi="Times New Roman"/>
                <w:b/>
                <w:sz w:val="24"/>
              </w:rPr>
              <w:t>Rekomendacija įgyvendinta.</w:t>
            </w:r>
            <w:r>
              <w:rPr>
                <w:rFonts w:ascii="Times New Roman" w:hAnsi="Times New Roman"/>
                <w:sz w:val="24"/>
              </w:rPr>
              <w:t xml:space="preserve"> Teritorinių skyrių vedėjai pateikė informaciją, kad ūkio subjektų patikrinimai atliekami tik pagal nustatytą tvarką, naudojant kontrolinius klausimynus. </w:t>
            </w:r>
            <w:r w:rsidRPr="00D241EE">
              <w:rPr>
                <w:rFonts w:ascii="Times New Roman" w:hAnsi="Times New Roman"/>
                <w:b/>
                <w:sz w:val="24"/>
              </w:rPr>
              <w:t>STT pastabų neturi.</w:t>
            </w:r>
          </w:p>
        </w:tc>
      </w:tr>
      <w:tr w:rsidR="00F733C8" w:rsidRPr="00D241EE"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1.3.2. Atliekant VDI teritorinio skyriaus valstybės tarnautojų veiklos vertinimą, individualaus pokalbio su VDI inspektoriumi metu aiškintis kontrolinių klausimų nenaudojimo priežastis, jas analizuoti ir apžvelgti vertinant VDI valstybės tarnautojo veiklą.</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053C15">
              <w:rPr>
                <w:rFonts w:ascii="Times New Roman" w:hAnsi="Times New Roman"/>
                <w:b/>
                <w:sz w:val="24"/>
              </w:rPr>
              <w:t>Rekomendacija įgyvendinta.</w:t>
            </w:r>
            <w:r>
              <w:rPr>
                <w:rFonts w:ascii="Times New Roman" w:hAnsi="Times New Roman"/>
                <w:sz w:val="24"/>
              </w:rPr>
              <w:t xml:space="preserve"> Teritorinių skyrių vedėjai pateikė informaciją, kad nustatyta tvarka, su visais darbo inspektoriais, buvo pravestas metinis pokalbis, vertinti metinės veiklos rezultatai, aptartos esamos veiklos problemos ir atliktų darbų kokybė. </w:t>
            </w:r>
            <w:r w:rsidRPr="00053C15">
              <w:rPr>
                <w:rFonts w:ascii="Times New Roman" w:hAnsi="Times New Roman"/>
                <w:b/>
                <w:sz w:val="24"/>
              </w:rPr>
              <w:t>STT pastabų neturi.</w:t>
            </w:r>
            <w:r>
              <w:rPr>
                <w:rFonts w:ascii="Times New Roman" w:hAnsi="Times New Roman"/>
                <w:sz w:val="24"/>
              </w:rPr>
              <w:t xml:space="preserve"> </w:t>
            </w:r>
          </w:p>
        </w:tc>
      </w:tr>
      <w:tr w:rsidR="00F733C8" w:rsidRPr="00053C15"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1.3.3. Nuolat stebėti kontrolinių klausimų naudojimą, apibendrintą informaciją aptarti mokymų(seminarų) VDI inspektoriams metu.</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516BD1">
              <w:rPr>
                <w:rFonts w:ascii="Times New Roman" w:hAnsi="Times New Roman"/>
                <w:b/>
                <w:sz w:val="24"/>
              </w:rPr>
              <w:t>Rekomendacija įgyvendinta.</w:t>
            </w:r>
            <w:r>
              <w:rPr>
                <w:rFonts w:ascii="Times New Roman" w:hAnsi="Times New Roman"/>
                <w:sz w:val="24"/>
              </w:rPr>
              <w:t xml:space="preserve"> Priemonė pagal VDI PVS kompetenciją vykdoma nuolat: 1) kas ketvirtį kontrolinių klausimynų naudojimo prievolės vidinė kontrolė, rezultatai siunčiami  elektroniniu paštu VDI teritorinių skyrių vedėjams; 2) vykdant VDI viršininko 2015-12-04 įsakymą Nr. V-361, šių metų I pusmetyje suplanuota atlikti vidinę kontrolę dėl kontrolinių klausimynų pildymo. STT pastabų neturi. </w:t>
            </w:r>
          </w:p>
        </w:tc>
      </w:tr>
      <w:tr w:rsidR="00F733C8" w:rsidRPr="009D1792" w:rsidTr="00F733C8">
        <w:tc>
          <w:tcPr>
            <w:tcW w:w="32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 xml:space="preserve">1.4. Atsižvelgiant į pastabas, išdėstytas korupcijos rizikos analizės 1 skyriaus 5 punkte, parengti metodines rekomendacijas dėl reikalavimų ND patikrinimo aktų, taip pat dėl klausimynų turinio, stiprinti VDI inspektorių dokumentų, surašomų ūkio subjektų patikrinimo metu, turinio ir </w:t>
            </w:r>
            <w:r>
              <w:rPr>
                <w:rFonts w:ascii="Times New Roman" w:hAnsi="Times New Roman"/>
                <w:sz w:val="24"/>
              </w:rPr>
              <w:lastRenderedPageBreak/>
              <w:t>kokybės vidaus kontrolę.</w:t>
            </w: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lastRenderedPageBreak/>
              <w:t>1.4.1. Analizuojant surašytų nelegalaus darbo tyrimo aktų turinį ir nelegalaus darbo patikrinimų įforminimą, apibendrintą informaciją aptarti mokymų (seminarų) VDI inspektoriams metu.</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Pr="005A0380" w:rsidRDefault="00F733C8" w:rsidP="006334C4">
            <w:pPr>
              <w:jc w:val="both"/>
              <w:rPr>
                <w:rFonts w:ascii="Times New Roman" w:hAnsi="Times New Roman"/>
                <w:b/>
                <w:sz w:val="24"/>
              </w:rPr>
            </w:pPr>
            <w:r w:rsidRPr="005A0380">
              <w:rPr>
                <w:rFonts w:ascii="Times New Roman" w:hAnsi="Times New Roman"/>
                <w:b/>
                <w:sz w:val="24"/>
              </w:rPr>
              <w:t xml:space="preserve">Rekomendacija įgyvendinta. </w:t>
            </w:r>
          </w:p>
          <w:p w:rsidR="00F733C8" w:rsidRDefault="00F733C8" w:rsidP="006334C4">
            <w:pPr>
              <w:jc w:val="both"/>
              <w:rPr>
                <w:rFonts w:ascii="Times New Roman" w:hAnsi="Times New Roman"/>
                <w:sz w:val="24"/>
              </w:rPr>
            </w:pPr>
            <w:r>
              <w:rPr>
                <w:rFonts w:ascii="Times New Roman" w:hAnsi="Times New Roman"/>
                <w:sz w:val="24"/>
              </w:rPr>
              <w:t xml:space="preserve">Teisės skyrius atliko per 2015 m. I ir II pusmetį surašytų nelegalaus darbo patikrinimų  įforminimo analizę. Surašytų nelegalaus darbo aktų analizės metu pastebėti trūkumai, geroji praktika bei išvados buvo aptartos 2015 m. gegužės, birželio ir lapkričio mėnesiais </w:t>
            </w:r>
            <w:r>
              <w:rPr>
                <w:rFonts w:ascii="Times New Roman" w:hAnsi="Times New Roman"/>
                <w:sz w:val="24"/>
              </w:rPr>
              <w:lastRenderedPageBreak/>
              <w:t xml:space="preserve">vykusių mokymų metu. Taip pat buvo atlikta 2015 m. analizė, 2016 m. vasario mėnesį elektroniniu paštu pateikta VDI teritorinių skyrių vedėjams susipažinimui, įvardijant konkrečius šių skyrių nelegalaus darbo aktus surašiusius inspektorius, problemas su kuriomis buvo susidurta. VDI teritorinių skyrių vedėjams buvo rekomenduota rezultatus ir išvadas aptarti su skyrių darbuotojais ir atkreipti dėmesį į daromas klaidas bei trūkumus atliekant nelegalaus darbo tyrimus ir aprašant tyrimo eigą, surinktus faktus ir taikomas sankcijas. Pažymime, kad nelegalaus darbo patikrinimo atlikimo ir procedūrų įforminimo analizė už 2015 metus bus aptariama 2016 m. vyksiančių mokymų (seminarų) su VDI inspektoriais metu. </w:t>
            </w:r>
            <w:r w:rsidRPr="006F0A58">
              <w:rPr>
                <w:rFonts w:ascii="Times New Roman" w:hAnsi="Times New Roman"/>
                <w:b/>
                <w:sz w:val="24"/>
              </w:rPr>
              <w:t>STT pastabų neturi.</w:t>
            </w:r>
            <w:r>
              <w:rPr>
                <w:rFonts w:ascii="Times New Roman" w:hAnsi="Times New Roman"/>
                <w:sz w:val="24"/>
              </w:rPr>
              <w:t xml:space="preserve"> </w:t>
            </w:r>
          </w:p>
        </w:tc>
      </w:tr>
      <w:tr w:rsidR="00F733C8" w:rsidRPr="009D1792"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1.4.2. Analizuoti užpildytų kontrolinių klausimynų ir juose pateiktų rekomendacijų turinį, apibendrintą informaciją aptarti mokymų (seminarų) VDI inspektoriams metu.</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6F0A58">
              <w:rPr>
                <w:rFonts w:ascii="Times New Roman" w:hAnsi="Times New Roman"/>
                <w:b/>
                <w:sz w:val="24"/>
              </w:rPr>
              <w:t>Rekomendacija įgyvendinta.</w:t>
            </w:r>
            <w:r>
              <w:rPr>
                <w:rFonts w:ascii="Times New Roman" w:hAnsi="Times New Roman"/>
                <w:sz w:val="24"/>
              </w:rPr>
              <w:t xml:space="preserve"> Priemonė pagal VDI PVS skyriaus kompetenciją vykdoma nuolat: 1) kas ketvirtį atliekama kontrolinių klausimynų naudojimo prievolės vidinė kontrolė, rezultatai elektroniniu paštu siunčiami VDI teritorinių skyrių vadovams (kopija – LR VVDI pavaduotojui pagal administravimo sritį); 2) vykdant LR VVDI 2015 m. gruodžio 4 d. įsakymą Nr. V-362, 2016 m. I pusmetyje suplanuota atlikti vidinę kontrolę dėl kontrolinių klausimynų pildymo pagal naujo VDI patikrinimų organizavimo ir atlikimo bei jų vykdymo vidinės kontrolės organizavimo tvarkos aprašo reikalavimus; 3) VDI PSV skyriaus atstovams vykstant į teritorinius VDI skyrius, </w:t>
            </w:r>
            <w:r>
              <w:rPr>
                <w:rFonts w:ascii="Times New Roman" w:hAnsi="Times New Roman"/>
                <w:sz w:val="24"/>
              </w:rPr>
              <w:lastRenderedPageBreak/>
              <w:t xml:space="preserve">kontrolinių klausimynų pildymo prievolės ir jų pildymo probleminiai klausimai aptariami su šių skyrių darbo inspektoriais. </w:t>
            </w:r>
            <w:r w:rsidRPr="00BC4608">
              <w:rPr>
                <w:rFonts w:ascii="Times New Roman" w:hAnsi="Times New Roman"/>
                <w:b/>
                <w:sz w:val="24"/>
              </w:rPr>
              <w:t>STT pastabų neturi</w:t>
            </w:r>
            <w:r>
              <w:rPr>
                <w:rFonts w:ascii="Times New Roman" w:hAnsi="Times New Roman"/>
                <w:sz w:val="24"/>
              </w:rPr>
              <w:t xml:space="preserve">. </w:t>
            </w:r>
          </w:p>
        </w:tc>
      </w:tr>
      <w:tr w:rsidR="00F733C8" w:rsidRPr="009D1792" w:rsidTr="00F733C8">
        <w:tc>
          <w:tcPr>
            <w:tcW w:w="98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bCs/>
                <w:color w:val="000000"/>
                <w:sz w:val="24"/>
              </w:rPr>
            </w:pPr>
            <w:r>
              <w:rPr>
                <w:rFonts w:ascii="Times New Roman" w:hAnsi="Times New Roman"/>
                <w:i/>
                <w:sz w:val="24"/>
              </w:rPr>
              <w:lastRenderedPageBreak/>
              <w:t>2. Dėl korupcijos rizikos administracinių teisės pažeidimų dėl darbo įstatymų, darbų saugos ir darbo higienos norminių aktų pažeidimų nagrinėjimo ir administracinių nuobaudų už šiuos administracinius teisės pažeidimus skyrimo srityse</w:t>
            </w:r>
          </w:p>
        </w:tc>
      </w:tr>
      <w:tr w:rsidR="00F733C8" w:rsidRPr="009D1792" w:rsidTr="00F733C8">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2.1. Atsižvelgiant į pastabas, išdėstytas korupcijos rizikos analizės 2 skyriaus 1 punkte, priimti VDI teisės aktą (ar papildyti minimame korupcijos rizikos analizės punkte paminėtus teisės aktus), įtvirtinantį aiškias sąlygas ar kriterijus, kuriais remiantis būtų galima priimti sprendimą neinicijuoti administracinio teisės pažeidimo bylos.</w:t>
            </w: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2.1.1. Parengti VDI vidinių teisės aktų pakeitimus, numatant kriterijus, sąlygas ir aplinkybes, dėl kurių gali būti neinicijuota administracinio teisės pažeidimo (ATP) byla, tai yra, nesurašomas ATP protokolas, o taikomas kitos poveikio priemonės.</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 xml:space="preserve">Rekomendacija įgyvendinta. 2015-12-04 įsakymu Nr. V-362 patvirtinta VDI patikrinimų organizavimo ir atlikimo bei jų vykdymo vidinės kontrolės organizavimo tvarka. </w:t>
            </w:r>
            <w:r w:rsidRPr="00BC4608">
              <w:rPr>
                <w:rFonts w:ascii="Times New Roman" w:hAnsi="Times New Roman"/>
                <w:b/>
                <w:sz w:val="24"/>
              </w:rPr>
              <w:t>STT pastabų neturi.</w:t>
            </w:r>
            <w:r>
              <w:rPr>
                <w:rFonts w:ascii="Times New Roman" w:hAnsi="Times New Roman"/>
                <w:sz w:val="24"/>
              </w:rPr>
              <w:t xml:space="preserve"> </w:t>
            </w:r>
          </w:p>
        </w:tc>
      </w:tr>
      <w:tr w:rsidR="00F733C8" w:rsidRPr="009D1792" w:rsidTr="00F733C8">
        <w:tc>
          <w:tcPr>
            <w:tcW w:w="32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2.2. Atsižvelgiant į pastabas, išdėstytas korupcijos rizikos analizės 2 skyriaus 2, 3, 4, punktuose, aiškiau ir detaliau apibrėžti aplinkybes, kriterijus, kuriais remiantis būtų apibrėžiamas mažareikšmis teisės pažeidimas, stiprinti VDI sprendimų inicijuoti ir (ar) neinicijuoti administracinio teisės pažeidimo bylos teiseną, administracinių teisės pažeidimų bylų nagrinėjimo, priimtų nutarimų administracinio teisės pažeidimo bylose pagrįstumo, vidaus kontrolę. Taip pat siūlome papildyti Dokumentų kontrolės ir kokybės analizės aprašo 2 priedą ir pateikti (papildyti) rekomendacijas dėl administracinio teisės pažeidimo bylos nagrinėjimo metu nustatytų aplinkybių vertinimo, administracinės nuobaudos individualizavimo.</w:t>
            </w: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2.2.1. Parengti VDI vidinių teisės aktų pakeitimus, numatant kriterijus, kuriais remiantis būtų apibrėžiamas mažareikšmis teisės pažeidimas.</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BC4608">
              <w:rPr>
                <w:rFonts w:ascii="Times New Roman" w:hAnsi="Times New Roman"/>
                <w:b/>
                <w:sz w:val="24"/>
              </w:rPr>
              <w:t>Rekomendacija įgyvendinta.</w:t>
            </w:r>
            <w:r>
              <w:rPr>
                <w:rFonts w:ascii="Times New Roman" w:hAnsi="Times New Roman"/>
                <w:sz w:val="24"/>
              </w:rPr>
              <w:t xml:space="preserve"> Atlikti VDI ūkio subjektų veiklos patikrinimų taisyklių pakeitimai, kur nustatyta mažareikšmio teisės pažeidimo sąvoka. </w:t>
            </w:r>
            <w:r w:rsidRPr="00BC4608">
              <w:rPr>
                <w:rFonts w:ascii="Times New Roman" w:hAnsi="Times New Roman"/>
                <w:b/>
                <w:sz w:val="24"/>
              </w:rPr>
              <w:t>STT pastabų neturi.</w:t>
            </w:r>
          </w:p>
        </w:tc>
      </w:tr>
      <w:tr w:rsidR="00F733C8" w:rsidRPr="009D1792"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 xml:space="preserve">2.2.2. Parengti VDI vidinių teisės aktų pakeitimus vidaus kontrolei dėl priimtų nutarimų ATP bylose sustiprinti. </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BC4608">
              <w:rPr>
                <w:rFonts w:ascii="Times New Roman" w:hAnsi="Times New Roman"/>
                <w:b/>
                <w:sz w:val="24"/>
              </w:rPr>
              <w:t>Rekomendacija įgyvendinta</w:t>
            </w:r>
            <w:r>
              <w:rPr>
                <w:rFonts w:ascii="Times New Roman" w:hAnsi="Times New Roman"/>
                <w:sz w:val="24"/>
              </w:rPr>
              <w:t xml:space="preserve">. LR VVDI 2015-12-04 įsakymu Nr. V-362 buvo patvirtintas VDI patikrinimų organizavimo bei vykdymo vidinės kontrolės organizavimo tvarkos aprašas. Šiame Apraše buvo reglamentuotas nelegalaus darbo tyrimo aktų, taip pat AT protokolų surašymo ir priimtų nutarimų pirminės ir antrinės vidinės kontrolės vykdymas. </w:t>
            </w:r>
            <w:r w:rsidRPr="00BC4608">
              <w:rPr>
                <w:rFonts w:ascii="Times New Roman" w:hAnsi="Times New Roman"/>
                <w:b/>
                <w:sz w:val="24"/>
              </w:rPr>
              <w:t>STT pastabų neturi</w:t>
            </w:r>
            <w:r>
              <w:rPr>
                <w:rFonts w:ascii="Times New Roman" w:hAnsi="Times New Roman"/>
                <w:sz w:val="24"/>
              </w:rPr>
              <w:t>.</w:t>
            </w:r>
          </w:p>
        </w:tc>
      </w:tr>
      <w:tr w:rsidR="00F733C8" w:rsidRPr="009D1792"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2.2.3. Papildyti rekomendacijas dėl ATP bylos nagrinėjimo metu nustatytų aplinkybių vertinimo, administracinės nuobaudos individualizavimo, numatant privalomai nurodomus kriterijus ar (ir) aplinkybes skiriamos nuobaudos dydžiui pagrįsti.</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3B43EE">
              <w:rPr>
                <w:rFonts w:ascii="Times New Roman" w:hAnsi="Times New Roman"/>
                <w:b/>
                <w:sz w:val="24"/>
              </w:rPr>
              <w:t>Rekomendacija įgyvendinta.</w:t>
            </w:r>
            <w:r>
              <w:rPr>
                <w:rFonts w:ascii="Times New Roman" w:hAnsi="Times New Roman"/>
                <w:sz w:val="24"/>
              </w:rPr>
              <w:t xml:space="preserve"> LR VVDI 2015-12-04 įsakymu Nr. V-362 buvo patvirtintas VDI patikrinimų organizavimo bei vykdymo vidinės kontrolės organizavimo tvarkos aprašas, kuriame šie kriterijai numatyti. </w:t>
            </w:r>
            <w:r w:rsidRPr="003B43EE">
              <w:rPr>
                <w:rFonts w:ascii="Times New Roman" w:hAnsi="Times New Roman"/>
                <w:b/>
                <w:sz w:val="24"/>
              </w:rPr>
              <w:t>STT pastabų neturi.</w:t>
            </w:r>
          </w:p>
        </w:tc>
      </w:tr>
      <w:tr w:rsidR="00F733C8" w:rsidRPr="009D1792" w:rsidTr="00F733C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C8" w:rsidRDefault="00F733C8" w:rsidP="006334C4">
            <w:pPr>
              <w:rPr>
                <w:sz w:val="24"/>
              </w:rPr>
            </w:pP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t xml:space="preserve">2.2.4. Analizuoti išnagrinėtų </w:t>
            </w:r>
            <w:r>
              <w:rPr>
                <w:rFonts w:ascii="Times New Roman" w:hAnsi="Times New Roman"/>
                <w:sz w:val="24"/>
              </w:rPr>
              <w:lastRenderedPageBreak/>
              <w:t>ATP bylų turinį, apibendrintą, informaciją aptarti mokymų (seminarų) VDI inspektoriams metu.</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lastRenderedPageBreak/>
              <w:t xml:space="preserve">Rekomendacija įgyvendinta.  </w:t>
            </w:r>
            <w:r>
              <w:rPr>
                <w:rFonts w:ascii="Times New Roman" w:hAnsi="Times New Roman"/>
                <w:sz w:val="24"/>
              </w:rPr>
              <w:lastRenderedPageBreak/>
              <w:t xml:space="preserve">VDI Teisės skyriaus išnagrinėtų ATP bylų turinio analizė už 2015 m. I pusmetį ir jos metu pastebėti trūkumai, taip pat nutrauktų bylų dėl nelegalaus darbo apibendrintos išvados ir siūlymai kaip gerinti surašomų ATP protokolų kokybę buvo aptarti 2015 m. gegužės, birželio ir lapkričio mėnesiais vykusių mokymu metu. </w:t>
            </w:r>
            <w:r w:rsidRPr="00246467">
              <w:rPr>
                <w:rFonts w:ascii="Times New Roman" w:hAnsi="Times New Roman"/>
                <w:b/>
                <w:sz w:val="24"/>
              </w:rPr>
              <w:t>STT pastabų neturi</w:t>
            </w:r>
            <w:r>
              <w:rPr>
                <w:rFonts w:ascii="Times New Roman" w:hAnsi="Times New Roman"/>
                <w:sz w:val="24"/>
              </w:rPr>
              <w:t xml:space="preserve">. </w:t>
            </w:r>
          </w:p>
        </w:tc>
      </w:tr>
      <w:tr w:rsidR="00F733C8" w:rsidRPr="009D1792" w:rsidTr="00F733C8">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Pr>
                <w:rFonts w:ascii="Times New Roman" w:hAnsi="Times New Roman"/>
                <w:sz w:val="24"/>
              </w:rPr>
              <w:lastRenderedPageBreak/>
              <w:t>2.3. Atsižvelgdami į pastabas, išdėstytas korupcijos rizikos analizės 2 skyriaus 5 punkte, siūlome pakeisti papildyti Dokumentų kontrolės ir kokybės analizės aprašą, nustatant aiškią nutarimo administracinio teisės pažeidimo byloje panaikinimo procedūros vidaus kontrolės tvarką.</w:t>
            </w:r>
          </w:p>
        </w:tc>
        <w:tc>
          <w:tcPr>
            <w:tcW w:w="3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C8" w:rsidRDefault="00F733C8" w:rsidP="006334C4">
            <w:pPr>
              <w:jc w:val="both"/>
              <w:rPr>
                <w:rFonts w:ascii="Times New Roman" w:hAnsi="Times New Roman"/>
                <w:sz w:val="24"/>
              </w:rPr>
            </w:pPr>
            <w:r>
              <w:rPr>
                <w:rFonts w:ascii="Times New Roman" w:hAnsi="Times New Roman"/>
                <w:sz w:val="24"/>
              </w:rPr>
              <w:t>2.3.1. Papildyti Administracinių teisės pažeidimo protokolų, nutarimų administracinių teisės pažeidimų bylose surašymo ir registravimo, baudų skirtų už administracinius teisės pažeidimus, apskaitos ir mokėjimo (išieškojimo) kontrolės tvarkos parašą, nustatant aiškią nutarimo ATP byloje panaikinimo procedūrą.</w:t>
            </w:r>
          </w:p>
          <w:p w:rsidR="00F733C8" w:rsidRDefault="00F733C8" w:rsidP="006334C4">
            <w:pPr>
              <w:jc w:val="both"/>
              <w:rPr>
                <w:rFonts w:ascii="Times New Roman" w:hAnsi="Times New Roman"/>
                <w:sz w:val="24"/>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8" w:rsidRDefault="00F733C8" w:rsidP="006334C4">
            <w:pPr>
              <w:jc w:val="both"/>
              <w:rPr>
                <w:rFonts w:ascii="Times New Roman" w:hAnsi="Times New Roman"/>
                <w:sz w:val="24"/>
              </w:rPr>
            </w:pPr>
            <w:r w:rsidRPr="00246467">
              <w:rPr>
                <w:rFonts w:ascii="Times New Roman" w:hAnsi="Times New Roman"/>
                <w:b/>
                <w:sz w:val="24"/>
              </w:rPr>
              <w:t>Rekomendacija įgyvendinta</w:t>
            </w:r>
            <w:r>
              <w:rPr>
                <w:rFonts w:ascii="Times New Roman" w:hAnsi="Times New Roman"/>
                <w:sz w:val="24"/>
              </w:rPr>
              <w:t xml:space="preserve">. LR VVDI 2015-04-21 įsakymu Nr. V-137 buvo pakeistas Administracinių teisės pažeidimų protokolų, nutarimų administracinių teisės apžeidimų bylose surašymo ir registravimo, baudų skirtų už administracinius teisės pažeidimus, apskaitos ir mokėjimo (išieškojimo) kontrolės tvarkos aprašas, pakeistas 30 punktas, nustatant aiškią nutarimo ATP byloje panaikinimo procedūrą: visiškai ar iš dalies sutikti su skundu, panaikinti skundžiamą ATP nutarimą ar nutarimą juridiniam asmeniui ir priimti naują atitinkamą nutarimą išnagrinėtoje administracinio teisės pažeidimo byloje, gali priimti tik inspektoriaus, priėmusio ATP nutarimą ar nutarimą juridiniam asmeniui, skyriaus vedėjas. Panaikinti ATP nutarimą ar nutarimą juridiniam asmeniui ir priimti naują nutarimą galima tik esant pagrįstoms aplinkybėms, t.y. jeigu įvertinus skunde pateikiamus paaiškinimus bei argumentus nenustatoma neabejotinų asmens kaltės įrodymų, kurie leistų konstatuoti, kad asmuo padarė administracinį teisės pažeidimą ir už jį galėtų būti skirta administracinė bauda. Tokiu atveju skyriaus vedėjas, </w:t>
            </w:r>
            <w:r>
              <w:rPr>
                <w:rFonts w:ascii="Times New Roman" w:hAnsi="Times New Roman"/>
                <w:sz w:val="24"/>
              </w:rPr>
              <w:lastRenderedPageBreak/>
              <w:t xml:space="preserve">priėmęs naują ATP nutarimą arba nutarimą juridiniam asmeniui, privalo jį nedelsiant užregistruoti DSS IS ir ATPR, arba tik DSS IS, kai priimamas naujas nutarimas pagal ATP protokolą juridiniam asmeniui, prieš tai DSS IS pažymėjęs ankstesnio AT nutarimo panaikinimą. </w:t>
            </w:r>
            <w:r w:rsidRPr="00246467">
              <w:rPr>
                <w:rFonts w:ascii="Times New Roman" w:hAnsi="Times New Roman"/>
                <w:b/>
                <w:sz w:val="24"/>
              </w:rPr>
              <w:t>STT pastabų neturi</w:t>
            </w:r>
            <w:r>
              <w:rPr>
                <w:rFonts w:ascii="Times New Roman" w:hAnsi="Times New Roman"/>
                <w:sz w:val="24"/>
              </w:rPr>
              <w:t>.</w:t>
            </w:r>
          </w:p>
        </w:tc>
      </w:tr>
    </w:tbl>
    <w:p w:rsidR="00F733C8" w:rsidRDefault="00F733C8" w:rsidP="00F733C8"/>
    <w:p w:rsidR="00F733C8" w:rsidRDefault="00F733C8" w:rsidP="00F733C8">
      <w:pPr>
        <w:jc w:val="center"/>
      </w:pPr>
      <w:r>
        <w:t>_____________________</w:t>
      </w:r>
    </w:p>
    <w:p w:rsidR="00F733C8" w:rsidRDefault="00F733C8" w:rsidP="00F733C8"/>
    <w:sectPr w:rsidR="00F733C8" w:rsidSect="00F733C8">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886" w:rsidRDefault="00B65886" w:rsidP="00F733C8">
      <w:r>
        <w:separator/>
      </w:r>
    </w:p>
  </w:endnote>
  <w:endnote w:type="continuationSeparator" w:id="0">
    <w:p w:rsidR="00B65886" w:rsidRDefault="00B65886" w:rsidP="00F7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886" w:rsidRDefault="00B65886" w:rsidP="00F733C8">
      <w:r>
        <w:separator/>
      </w:r>
    </w:p>
  </w:footnote>
  <w:footnote w:type="continuationSeparator" w:id="0">
    <w:p w:rsidR="00B65886" w:rsidRDefault="00B65886" w:rsidP="00F73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9549"/>
      <w:docPartObj>
        <w:docPartGallery w:val="Page Numbers (Top of Page)"/>
        <w:docPartUnique/>
      </w:docPartObj>
    </w:sdtPr>
    <w:sdtEndPr/>
    <w:sdtContent>
      <w:p w:rsidR="00F733C8" w:rsidRDefault="00B65886">
        <w:pPr>
          <w:pStyle w:val="Header"/>
          <w:jc w:val="center"/>
        </w:pPr>
        <w:r>
          <w:fldChar w:fldCharType="begin"/>
        </w:r>
        <w:r>
          <w:instrText xml:space="preserve"> PAGE   \* MERGEFORMAT </w:instrText>
        </w:r>
        <w:r>
          <w:fldChar w:fldCharType="separate"/>
        </w:r>
        <w:r w:rsidR="00E01779">
          <w:rPr>
            <w:noProof/>
          </w:rPr>
          <w:t>2</w:t>
        </w:r>
        <w:r>
          <w:rPr>
            <w:noProof/>
          </w:rPr>
          <w:fldChar w:fldCharType="end"/>
        </w:r>
      </w:p>
    </w:sdtContent>
  </w:sdt>
  <w:p w:rsidR="00F733C8" w:rsidRDefault="00F73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C8"/>
    <w:rsid w:val="00001B88"/>
    <w:rsid w:val="000024EA"/>
    <w:rsid w:val="00002D4C"/>
    <w:rsid w:val="00010CFF"/>
    <w:rsid w:val="0001521C"/>
    <w:rsid w:val="000175C8"/>
    <w:rsid w:val="000207A9"/>
    <w:rsid w:val="00021616"/>
    <w:rsid w:val="00022AAD"/>
    <w:rsid w:val="00027C35"/>
    <w:rsid w:val="00032787"/>
    <w:rsid w:val="00033381"/>
    <w:rsid w:val="00035CB0"/>
    <w:rsid w:val="000472F5"/>
    <w:rsid w:val="00047FB0"/>
    <w:rsid w:val="00053506"/>
    <w:rsid w:val="000574CE"/>
    <w:rsid w:val="00057E63"/>
    <w:rsid w:val="000631F6"/>
    <w:rsid w:val="0006453E"/>
    <w:rsid w:val="000714DE"/>
    <w:rsid w:val="00071E06"/>
    <w:rsid w:val="00092730"/>
    <w:rsid w:val="00095B25"/>
    <w:rsid w:val="00095B70"/>
    <w:rsid w:val="00095CF8"/>
    <w:rsid w:val="00095DEF"/>
    <w:rsid w:val="000A3545"/>
    <w:rsid w:val="000A712D"/>
    <w:rsid w:val="000B05AB"/>
    <w:rsid w:val="000B34EB"/>
    <w:rsid w:val="000C0D06"/>
    <w:rsid w:val="000C1C1F"/>
    <w:rsid w:val="000C2100"/>
    <w:rsid w:val="000C6F5F"/>
    <w:rsid w:val="000D1A32"/>
    <w:rsid w:val="000D72A5"/>
    <w:rsid w:val="000E137C"/>
    <w:rsid w:val="000F183A"/>
    <w:rsid w:val="000F3B00"/>
    <w:rsid w:val="000F6353"/>
    <w:rsid w:val="000F7D38"/>
    <w:rsid w:val="00102A6D"/>
    <w:rsid w:val="00103A36"/>
    <w:rsid w:val="00107838"/>
    <w:rsid w:val="00120B3A"/>
    <w:rsid w:val="00124829"/>
    <w:rsid w:val="0012612C"/>
    <w:rsid w:val="00133A18"/>
    <w:rsid w:val="00133C5C"/>
    <w:rsid w:val="00133D26"/>
    <w:rsid w:val="00154221"/>
    <w:rsid w:val="00156AE0"/>
    <w:rsid w:val="00163F12"/>
    <w:rsid w:val="0016455F"/>
    <w:rsid w:val="0016511F"/>
    <w:rsid w:val="0017419C"/>
    <w:rsid w:val="00174C9C"/>
    <w:rsid w:val="00177859"/>
    <w:rsid w:val="00177AC1"/>
    <w:rsid w:val="00193D43"/>
    <w:rsid w:val="001A0046"/>
    <w:rsid w:val="001A1D4E"/>
    <w:rsid w:val="001A4524"/>
    <w:rsid w:val="001A6945"/>
    <w:rsid w:val="001C530F"/>
    <w:rsid w:val="001D22D4"/>
    <w:rsid w:val="001D580B"/>
    <w:rsid w:val="001D7C49"/>
    <w:rsid w:val="001E249C"/>
    <w:rsid w:val="001E2D7A"/>
    <w:rsid w:val="001E7E99"/>
    <w:rsid w:val="001F022C"/>
    <w:rsid w:val="001F2005"/>
    <w:rsid w:val="0020135B"/>
    <w:rsid w:val="002108A6"/>
    <w:rsid w:val="00210BB5"/>
    <w:rsid w:val="00215596"/>
    <w:rsid w:val="00226A06"/>
    <w:rsid w:val="00227F13"/>
    <w:rsid w:val="0023762D"/>
    <w:rsid w:val="00240860"/>
    <w:rsid w:val="002478A3"/>
    <w:rsid w:val="00252FF0"/>
    <w:rsid w:val="00267B6C"/>
    <w:rsid w:val="00272949"/>
    <w:rsid w:val="00273B54"/>
    <w:rsid w:val="002848B2"/>
    <w:rsid w:val="0029001B"/>
    <w:rsid w:val="002A44E1"/>
    <w:rsid w:val="002A61DC"/>
    <w:rsid w:val="002B3103"/>
    <w:rsid w:val="002C43DE"/>
    <w:rsid w:val="002D7736"/>
    <w:rsid w:val="002F7AA3"/>
    <w:rsid w:val="002F7CAE"/>
    <w:rsid w:val="0032299A"/>
    <w:rsid w:val="00322EB1"/>
    <w:rsid w:val="003310CA"/>
    <w:rsid w:val="0033347E"/>
    <w:rsid w:val="00336CF0"/>
    <w:rsid w:val="003371F6"/>
    <w:rsid w:val="00337D51"/>
    <w:rsid w:val="0035189A"/>
    <w:rsid w:val="00353F4A"/>
    <w:rsid w:val="0035418C"/>
    <w:rsid w:val="003565A2"/>
    <w:rsid w:val="0037252C"/>
    <w:rsid w:val="00376554"/>
    <w:rsid w:val="00376C7E"/>
    <w:rsid w:val="0038140E"/>
    <w:rsid w:val="00381A4D"/>
    <w:rsid w:val="003829D0"/>
    <w:rsid w:val="00383086"/>
    <w:rsid w:val="00390BC1"/>
    <w:rsid w:val="00391FB8"/>
    <w:rsid w:val="00395D08"/>
    <w:rsid w:val="003A0865"/>
    <w:rsid w:val="003A1D8F"/>
    <w:rsid w:val="003B5B72"/>
    <w:rsid w:val="003B5F08"/>
    <w:rsid w:val="003B6CE4"/>
    <w:rsid w:val="003C0BB9"/>
    <w:rsid w:val="003C2B70"/>
    <w:rsid w:val="003C2F35"/>
    <w:rsid w:val="003C40AC"/>
    <w:rsid w:val="003D373C"/>
    <w:rsid w:val="003D7C6A"/>
    <w:rsid w:val="003E1DD3"/>
    <w:rsid w:val="003F355C"/>
    <w:rsid w:val="003F4E37"/>
    <w:rsid w:val="00407FE7"/>
    <w:rsid w:val="0041011C"/>
    <w:rsid w:val="004105F1"/>
    <w:rsid w:val="00410B83"/>
    <w:rsid w:val="004130DD"/>
    <w:rsid w:val="004308F7"/>
    <w:rsid w:val="004313EB"/>
    <w:rsid w:val="004325E1"/>
    <w:rsid w:val="00433B56"/>
    <w:rsid w:val="00436119"/>
    <w:rsid w:val="0043788D"/>
    <w:rsid w:val="004409F2"/>
    <w:rsid w:val="00457104"/>
    <w:rsid w:val="004577DE"/>
    <w:rsid w:val="00457967"/>
    <w:rsid w:val="00461110"/>
    <w:rsid w:val="00463A9E"/>
    <w:rsid w:val="00464440"/>
    <w:rsid w:val="00477516"/>
    <w:rsid w:val="00481CBC"/>
    <w:rsid w:val="00484E93"/>
    <w:rsid w:val="004A0ED8"/>
    <w:rsid w:val="004A35FF"/>
    <w:rsid w:val="004B7674"/>
    <w:rsid w:val="004B7713"/>
    <w:rsid w:val="004C22D0"/>
    <w:rsid w:val="004C2BD5"/>
    <w:rsid w:val="004C6C01"/>
    <w:rsid w:val="004C78DB"/>
    <w:rsid w:val="004D0B70"/>
    <w:rsid w:val="004D1051"/>
    <w:rsid w:val="004D1EFC"/>
    <w:rsid w:val="004D6D51"/>
    <w:rsid w:val="004E0A4F"/>
    <w:rsid w:val="004E0E24"/>
    <w:rsid w:val="004E6735"/>
    <w:rsid w:val="004F15FE"/>
    <w:rsid w:val="004F2F05"/>
    <w:rsid w:val="004F747C"/>
    <w:rsid w:val="00500285"/>
    <w:rsid w:val="00516681"/>
    <w:rsid w:val="00516F9B"/>
    <w:rsid w:val="00521CA7"/>
    <w:rsid w:val="005256C8"/>
    <w:rsid w:val="00532AF0"/>
    <w:rsid w:val="00532DC9"/>
    <w:rsid w:val="00536CCB"/>
    <w:rsid w:val="0054207B"/>
    <w:rsid w:val="00551843"/>
    <w:rsid w:val="005525AC"/>
    <w:rsid w:val="0055442E"/>
    <w:rsid w:val="00556913"/>
    <w:rsid w:val="00561100"/>
    <w:rsid w:val="005641E5"/>
    <w:rsid w:val="00576DED"/>
    <w:rsid w:val="00587029"/>
    <w:rsid w:val="0059148F"/>
    <w:rsid w:val="005922FA"/>
    <w:rsid w:val="00594C8C"/>
    <w:rsid w:val="005977CA"/>
    <w:rsid w:val="005A037A"/>
    <w:rsid w:val="005A1094"/>
    <w:rsid w:val="005A34F5"/>
    <w:rsid w:val="005A3671"/>
    <w:rsid w:val="005B07A6"/>
    <w:rsid w:val="005B0E5E"/>
    <w:rsid w:val="005B7DAF"/>
    <w:rsid w:val="005C0BBB"/>
    <w:rsid w:val="005C4A45"/>
    <w:rsid w:val="005C5459"/>
    <w:rsid w:val="005D2E97"/>
    <w:rsid w:val="005D349D"/>
    <w:rsid w:val="005D4C37"/>
    <w:rsid w:val="005D5D01"/>
    <w:rsid w:val="005E3B2E"/>
    <w:rsid w:val="005E3D63"/>
    <w:rsid w:val="005E59E6"/>
    <w:rsid w:val="005E6B5B"/>
    <w:rsid w:val="005F6257"/>
    <w:rsid w:val="005F7DAE"/>
    <w:rsid w:val="00613A55"/>
    <w:rsid w:val="006245FE"/>
    <w:rsid w:val="00633511"/>
    <w:rsid w:val="00633892"/>
    <w:rsid w:val="00634006"/>
    <w:rsid w:val="0063544A"/>
    <w:rsid w:val="00643377"/>
    <w:rsid w:val="00647536"/>
    <w:rsid w:val="00662008"/>
    <w:rsid w:val="00664D7C"/>
    <w:rsid w:val="00667103"/>
    <w:rsid w:val="00672034"/>
    <w:rsid w:val="00672D70"/>
    <w:rsid w:val="00682F05"/>
    <w:rsid w:val="0068740C"/>
    <w:rsid w:val="00687D74"/>
    <w:rsid w:val="0069300E"/>
    <w:rsid w:val="006A3853"/>
    <w:rsid w:val="006A41D4"/>
    <w:rsid w:val="006A7A89"/>
    <w:rsid w:val="006B082E"/>
    <w:rsid w:val="006B13F6"/>
    <w:rsid w:val="006B1E45"/>
    <w:rsid w:val="006C18E4"/>
    <w:rsid w:val="006C6EF4"/>
    <w:rsid w:val="006E3B3F"/>
    <w:rsid w:val="006F4EA5"/>
    <w:rsid w:val="006F57B9"/>
    <w:rsid w:val="007024C3"/>
    <w:rsid w:val="00702AE2"/>
    <w:rsid w:val="00704C05"/>
    <w:rsid w:val="00707CD3"/>
    <w:rsid w:val="007110E6"/>
    <w:rsid w:val="00714531"/>
    <w:rsid w:val="0071578A"/>
    <w:rsid w:val="00716E00"/>
    <w:rsid w:val="00725F0C"/>
    <w:rsid w:val="00730302"/>
    <w:rsid w:val="00731057"/>
    <w:rsid w:val="00742425"/>
    <w:rsid w:val="007525F0"/>
    <w:rsid w:val="007549A8"/>
    <w:rsid w:val="007647D7"/>
    <w:rsid w:val="0076656B"/>
    <w:rsid w:val="007703A2"/>
    <w:rsid w:val="007724B9"/>
    <w:rsid w:val="00783ED7"/>
    <w:rsid w:val="007865B7"/>
    <w:rsid w:val="007965FA"/>
    <w:rsid w:val="007A68E5"/>
    <w:rsid w:val="007B10C1"/>
    <w:rsid w:val="007B6E05"/>
    <w:rsid w:val="007C3B9C"/>
    <w:rsid w:val="007D1FBF"/>
    <w:rsid w:val="007D314C"/>
    <w:rsid w:val="007D6446"/>
    <w:rsid w:val="007F2854"/>
    <w:rsid w:val="007F4C4C"/>
    <w:rsid w:val="007F575C"/>
    <w:rsid w:val="00804B7B"/>
    <w:rsid w:val="008052D3"/>
    <w:rsid w:val="00821073"/>
    <w:rsid w:val="00821CCC"/>
    <w:rsid w:val="00822016"/>
    <w:rsid w:val="0083430D"/>
    <w:rsid w:val="0083741C"/>
    <w:rsid w:val="00837A4D"/>
    <w:rsid w:val="00856B9D"/>
    <w:rsid w:val="0085744E"/>
    <w:rsid w:val="0086226F"/>
    <w:rsid w:val="00870F97"/>
    <w:rsid w:val="0087323E"/>
    <w:rsid w:val="0088002F"/>
    <w:rsid w:val="00884DC5"/>
    <w:rsid w:val="0089257C"/>
    <w:rsid w:val="0089520D"/>
    <w:rsid w:val="008A2253"/>
    <w:rsid w:val="008C1357"/>
    <w:rsid w:val="008C215B"/>
    <w:rsid w:val="008C32C2"/>
    <w:rsid w:val="008C6C0C"/>
    <w:rsid w:val="008D63E5"/>
    <w:rsid w:val="008D6BB1"/>
    <w:rsid w:val="008E48B9"/>
    <w:rsid w:val="008F3C6B"/>
    <w:rsid w:val="00900E3F"/>
    <w:rsid w:val="00904DB7"/>
    <w:rsid w:val="00911C04"/>
    <w:rsid w:val="00916386"/>
    <w:rsid w:val="00921B9C"/>
    <w:rsid w:val="00921CEF"/>
    <w:rsid w:val="009242DF"/>
    <w:rsid w:val="009252A0"/>
    <w:rsid w:val="0093571E"/>
    <w:rsid w:val="00945CBA"/>
    <w:rsid w:val="0094737C"/>
    <w:rsid w:val="009505B9"/>
    <w:rsid w:val="00950905"/>
    <w:rsid w:val="009565C4"/>
    <w:rsid w:val="00966C41"/>
    <w:rsid w:val="00971199"/>
    <w:rsid w:val="00972070"/>
    <w:rsid w:val="00977FE9"/>
    <w:rsid w:val="00985F75"/>
    <w:rsid w:val="00986CE8"/>
    <w:rsid w:val="00987C7E"/>
    <w:rsid w:val="00991909"/>
    <w:rsid w:val="0099490B"/>
    <w:rsid w:val="009953C4"/>
    <w:rsid w:val="00996E32"/>
    <w:rsid w:val="009A335C"/>
    <w:rsid w:val="009A3996"/>
    <w:rsid w:val="009A50B0"/>
    <w:rsid w:val="009A5778"/>
    <w:rsid w:val="009A5CA2"/>
    <w:rsid w:val="009A6FB9"/>
    <w:rsid w:val="009C297E"/>
    <w:rsid w:val="009C4C39"/>
    <w:rsid w:val="009D14A4"/>
    <w:rsid w:val="009D248F"/>
    <w:rsid w:val="009E1379"/>
    <w:rsid w:val="009E24BE"/>
    <w:rsid w:val="009E5297"/>
    <w:rsid w:val="00A00EBD"/>
    <w:rsid w:val="00A02BBC"/>
    <w:rsid w:val="00A042C2"/>
    <w:rsid w:val="00A062CA"/>
    <w:rsid w:val="00A06F59"/>
    <w:rsid w:val="00A119F2"/>
    <w:rsid w:val="00A11C9B"/>
    <w:rsid w:val="00A13C8F"/>
    <w:rsid w:val="00A154D9"/>
    <w:rsid w:val="00A16C41"/>
    <w:rsid w:val="00A23AB8"/>
    <w:rsid w:val="00A24A32"/>
    <w:rsid w:val="00A278E9"/>
    <w:rsid w:val="00A30D55"/>
    <w:rsid w:val="00A31889"/>
    <w:rsid w:val="00A34910"/>
    <w:rsid w:val="00A34912"/>
    <w:rsid w:val="00A35753"/>
    <w:rsid w:val="00A415A6"/>
    <w:rsid w:val="00A42A2E"/>
    <w:rsid w:val="00A707E4"/>
    <w:rsid w:val="00A70EE3"/>
    <w:rsid w:val="00A74185"/>
    <w:rsid w:val="00A77134"/>
    <w:rsid w:val="00A8399A"/>
    <w:rsid w:val="00A86D79"/>
    <w:rsid w:val="00A87E68"/>
    <w:rsid w:val="00A92F2D"/>
    <w:rsid w:val="00A93194"/>
    <w:rsid w:val="00A9551F"/>
    <w:rsid w:val="00AA3341"/>
    <w:rsid w:val="00AB014D"/>
    <w:rsid w:val="00AB0A3D"/>
    <w:rsid w:val="00AB3A68"/>
    <w:rsid w:val="00AB72D6"/>
    <w:rsid w:val="00AC439B"/>
    <w:rsid w:val="00AC4A55"/>
    <w:rsid w:val="00AD691B"/>
    <w:rsid w:val="00AE34FF"/>
    <w:rsid w:val="00AE4875"/>
    <w:rsid w:val="00AE5E0B"/>
    <w:rsid w:val="00AE5E5F"/>
    <w:rsid w:val="00AE6437"/>
    <w:rsid w:val="00AE7864"/>
    <w:rsid w:val="00B16242"/>
    <w:rsid w:val="00B23D02"/>
    <w:rsid w:val="00B50CEC"/>
    <w:rsid w:val="00B5445A"/>
    <w:rsid w:val="00B57034"/>
    <w:rsid w:val="00B61C3A"/>
    <w:rsid w:val="00B6352B"/>
    <w:rsid w:val="00B644EC"/>
    <w:rsid w:val="00B65886"/>
    <w:rsid w:val="00B6654B"/>
    <w:rsid w:val="00B66C76"/>
    <w:rsid w:val="00B73E9E"/>
    <w:rsid w:val="00B8246F"/>
    <w:rsid w:val="00B90BDE"/>
    <w:rsid w:val="00B92672"/>
    <w:rsid w:val="00B94C99"/>
    <w:rsid w:val="00B96911"/>
    <w:rsid w:val="00BA55C9"/>
    <w:rsid w:val="00BB1091"/>
    <w:rsid w:val="00BB10DA"/>
    <w:rsid w:val="00BC34CF"/>
    <w:rsid w:val="00BC5C4F"/>
    <w:rsid w:val="00BE43E6"/>
    <w:rsid w:val="00BE71CF"/>
    <w:rsid w:val="00C0094F"/>
    <w:rsid w:val="00C06D65"/>
    <w:rsid w:val="00C16893"/>
    <w:rsid w:val="00C1705B"/>
    <w:rsid w:val="00C17EE0"/>
    <w:rsid w:val="00C223EE"/>
    <w:rsid w:val="00C2565E"/>
    <w:rsid w:val="00C263E4"/>
    <w:rsid w:val="00C31600"/>
    <w:rsid w:val="00C3473A"/>
    <w:rsid w:val="00C34D04"/>
    <w:rsid w:val="00C4359E"/>
    <w:rsid w:val="00C53EF0"/>
    <w:rsid w:val="00C54303"/>
    <w:rsid w:val="00C61147"/>
    <w:rsid w:val="00C61194"/>
    <w:rsid w:val="00C613BC"/>
    <w:rsid w:val="00C62137"/>
    <w:rsid w:val="00C6396D"/>
    <w:rsid w:val="00C711C8"/>
    <w:rsid w:val="00C734E4"/>
    <w:rsid w:val="00C74D3C"/>
    <w:rsid w:val="00C76175"/>
    <w:rsid w:val="00C769B8"/>
    <w:rsid w:val="00C77AFA"/>
    <w:rsid w:val="00C85D47"/>
    <w:rsid w:val="00C928BA"/>
    <w:rsid w:val="00C9569C"/>
    <w:rsid w:val="00CA2E1A"/>
    <w:rsid w:val="00CA544B"/>
    <w:rsid w:val="00CB4C93"/>
    <w:rsid w:val="00CB6096"/>
    <w:rsid w:val="00CC06A5"/>
    <w:rsid w:val="00CC0C56"/>
    <w:rsid w:val="00CC120E"/>
    <w:rsid w:val="00CC4F00"/>
    <w:rsid w:val="00CD16C8"/>
    <w:rsid w:val="00CE289E"/>
    <w:rsid w:val="00CE2AF4"/>
    <w:rsid w:val="00CE7E4C"/>
    <w:rsid w:val="00CF0A86"/>
    <w:rsid w:val="00CF463F"/>
    <w:rsid w:val="00D03DDB"/>
    <w:rsid w:val="00D045E0"/>
    <w:rsid w:val="00D064E9"/>
    <w:rsid w:val="00D138A8"/>
    <w:rsid w:val="00D14664"/>
    <w:rsid w:val="00D22096"/>
    <w:rsid w:val="00D2225A"/>
    <w:rsid w:val="00D356E7"/>
    <w:rsid w:val="00D42BEC"/>
    <w:rsid w:val="00D45D85"/>
    <w:rsid w:val="00D5729F"/>
    <w:rsid w:val="00D60151"/>
    <w:rsid w:val="00D70A01"/>
    <w:rsid w:val="00D71014"/>
    <w:rsid w:val="00D72359"/>
    <w:rsid w:val="00D8315F"/>
    <w:rsid w:val="00D845B4"/>
    <w:rsid w:val="00D90246"/>
    <w:rsid w:val="00D9322D"/>
    <w:rsid w:val="00DA139A"/>
    <w:rsid w:val="00DB4177"/>
    <w:rsid w:val="00DB6CAA"/>
    <w:rsid w:val="00DB6F4F"/>
    <w:rsid w:val="00DC165E"/>
    <w:rsid w:val="00DC4CFE"/>
    <w:rsid w:val="00DD1999"/>
    <w:rsid w:val="00DE1547"/>
    <w:rsid w:val="00DF1AF4"/>
    <w:rsid w:val="00E01779"/>
    <w:rsid w:val="00E0665E"/>
    <w:rsid w:val="00E10BDA"/>
    <w:rsid w:val="00E13F61"/>
    <w:rsid w:val="00E21500"/>
    <w:rsid w:val="00E26501"/>
    <w:rsid w:val="00E3374A"/>
    <w:rsid w:val="00E3707E"/>
    <w:rsid w:val="00E42143"/>
    <w:rsid w:val="00E54258"/>
    <w:rsid w:val="00E561BC"/>
    <w:rsid w:val="00E602F5"/>
    <w:rsid w:val="00E6354B"/>
    <w:rsid w:val="00E70D65"/>
    <w:rsid w:val="00E716A9"/>
    <w:rsid w:val="00E85320"/>
    <w:rsid w:val="00E87973"/>
    <w:rsid w:val="00E91266"/>
    <w:rsid w:val="00EA1D5D"/>
    <w:rsid w:val="00EA4A29"/>
    <w:rsid w:val="00EC73E3"/>
    <w:rsid w:val="00EE1C8F"/>
    <w:rsid w:val="00EE56B6"/>
    <w:rsid w:val="00EE7083"/>
    <w:rsid w:val="00EF1953"/>
    <w:rsid w:val="00F02A2A"/>
    <w:rsid w:val="00F05E93"/>
    <w:rsid w:val="00F079C2"/>
    <w:rsid w:val="00F12EE9"/>
    <w:rsid w:val="00F14B9A"/>
    <w:rsid w:val="00F25856"/>
    <w:rsid w:val="00F27A5B"/>
    <w:rsid w:val="00F30408"/>
    <w:rsid w:val="00F33052"/>
    <w:rsid w:val="00F3656E"/>
    <w:rsid w:val="00F36EE2"/>
    <w:rsid w:val="00F37A98"/>
    <w:rsid w:val="00F41711"/>
    <w:rsid w:val="00F44D2A"/>
    <w:rsid w:val="00F46B4A"/>
    <w:rsid w:val="00F51CFF"/>
    <w:rsid w:val="00F604E3"/>
    <w:rsid w:val="00F63D79"/>
    <w:rsid w:val="00F669C4"/>
    <w:rsid w:val="00F71FF5"/>
    <w:rsid w:val="00F733C8"/>
    <w:rsid w:val="00F754F5"/>
    <w:rsid w:val="00F80365"/>
    <w:rsid w:val="00F81866"/>
    <w:rsid w:val="00F849C6"/>
    <w:rsid w:val="00F95259"/>
    <w:rsid w:val="00FA356C"/>
    <w:rsid w:val="00FA4DBB"/>
    <w:rsid w:val="00FB0C1D"/>
    <w:rsid w:val="00FB0DC3"/>
    <w:rsid w:val="00FB5250"/>
    <w:rsid w:val="00FB58EB"/>
    <w:rsid w:val="00FD76B8"/>
    <w:rsid w:val="00FD7814"/>
    <w:rsid w:val="00FE22F2"/>
    <w:rsid w:val="00FE76C0"/>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C977A-5A84-42E4-BECC-C9BFE86D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3C8"/>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33C8"/>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733C8"/>
    <w:pPr>
      <w:tabs>
        <w:tab w:val="center" w:pos="4986"/>
        <w:tab w:val="right" w:pos="9972"/>
      </w:tabs>
    </w:pPr>
  </w:style>
  <w:style w:type="character" w:customStyle="1" w:styleId="HeaderChar">
    <w:name w:val="Header Char"/>
    <w:basedOn w:val="DefaultParagraphFont"/>
    <w:link w:val="Header"/>
    <w:uiPriority w:val="99"/>
    <w:rsid w:val="00F733C8"/>
    <w:rPr>
      <w:rFonts w:eastAsia="Times New Roman" w:cs="Times New Roman"/>
      <w:szCs w:val="24"/>
      <w:lang w:eastAsia="lt-LT"/>
    </w:rPr>
  </w:style>
  <w:style w:type="paragraph" w:styleId="Footer">
    <w:name w:val="footer"/>
    <w:basedOn w:val="Normal"/>
    <w:link w:val="FooterChar"/>
    <w:uiPriority w:val="99"/>
    <w:semiHidden/>
    <w:unhideWhenUsed/>
    <w:rsid w:val="00F733C8"/>
    <w:pPr>
      <w:tabs>
        <w:tab w:val="center" w:pos="4986"/>
        <w:tab w:val="right" w:pos="9972"/>
      </w:tabs>
    </w:pPr>
  </w:style>
  <w:style w:type="character" w:customStyle="1" w:styleId="FooterChar">
    <w:name w:val="Footer Char"/>
    <w:basedOn w:val="DefaultParagraphFont"/>
    <w:link w:val="Footer"/>
    <w:uiPriority w:val="99"/>
    <w:semiHidden/>
    <w:rsid w:val="00F733C8"/>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9547</Words>
  <Characters>5442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Ramune</cp:lastModifiedBy>
  <cp:revision>2</cp:revision>
  <dcterms:created xsi:type="dcterms:W3CDTF">2020-03-02T12:02:00Z</dcterms:created>
  <dcterms:modified xsi:type="dcterms:W3CDTF">2020-03-02T12:02:00Z</dcterms:modified>
</cp:coreProperties>
</file>