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BE4FA" w14:textId="3FBD1DB7" w:rsidR="00F569ED" w:rsidRPr="00F569ED" w:rsidRDefault="00F569ED" w:rsidP="00F569ED">
      <w:pPr>
        <w:spacing w:line="240" w:lineRule="auto"/>
        <w:ind w:firstLine="0"/>
        <w:jc w:val="center"/>
        <w:rPr>
          <w:b/>
          <w:bCs/>
        </w:rPr>
      </w:pPr>
      <w:bookmarkStart w:id="0" w:name="_GoBack"/>
      <w:bookmarkEnd w:id="0"/>
      <w:r w:rsidRPr="00F569ED">
        <w:rPr>
          <w:b/>
          <w:bCs/>
        </w:rPr>
        <w:t xml:space="preserve">KORUPCIJOS RIZIKOS ANALIZĖS </w:t>
      </w:r>
      <w:r w:rsidR="00376AC0" w:rsidRPr="00F569ED">
        <w:rPr>
          <w:b/>
          <w:bCs/>
        </w:rPr>
        <w:t>IŠVADOJE</w:t>
      </w:r>
    </w:p>
    <w:p w14:paraId="2B1ACB3B" w14:textId="09488FB1" w:rsidR="00F569ED" w:rsidRPr="00F569ED" w:rsidRDefault="00376AC0" w:rsidP="00F569ED">
      <w:pPr>
        <w:spacing w:after="160" w:line="240" w:lineRule="auto"/>
        <w:ind w:firstLine="851"/>
        <w:jc w:val="center"/>
        <w:rPr>
          <w:rFonts w:eastAsiaTheme="minorHAnsi"/>
          <w:b/>
        </w:rPr>
      </w:pPr>
      <w:r>
        <w:rPr>
          <w:rFonts w:eastAsiaTheme="minorHAnsi"/>
          <w:b/>
        </w:rPr>
        <w:t xml:space="preserve">KPD </w:t>
      </w:r>
      <w:r w:rsidR="00F569ED" w:rsidRPr="00F569ED">
        <w:rPr>
          <w:rFonts w:eastAsiaTheme="minorHAnsi"/>
          <w:b/>
        </w:rPr>
        <w:t xml:space="preserve">GINANT VIEŠĄJĮ INTERESĄ IR NUSTATANT JO PAŽEIDIMUS </w:t>
      </w:r>
      <w:r>
        <w:rPr>
          <w:rFonts w:eastAsiaTheme="minorHAnsi"/>
          <w:b/>
        </w:rPr>
        <w:t>NEKILNOJAMOJO KULTŪROS PAVELDO APSAUGOS</w:t>
      </w:r>
      <w:r w:rsidR="00F569ED" w:rsidRPr="00F569ED">
        <w:rPr>
          <w:rFonts w:eastAsiaTheme="minorHAnsi"/>
          <w:b/>
        </w:rPr>
        <w:t xml:space="preserve"> SRITYSE</w:t>
      </w:r>
      <w:r w:rsidR="00F569ED">
        <w:rPr>
          <w:rFonts w:eastAsiaTheme="minorHAnsi"/>
          <w:b/>
        </w:rPr>
        <w:t xml:space="preserve"> </w:t>
      </w:r>
      <w:r w:rsidR="00F569ED" w:rsidRPr="00F569ED">
        <w:rPr>
          <w:b/>
          <w:bCs/>
        </w:rPr>
        <w:t>PATEIKTŲ REKOMENDACIJŲ STEBĖSENA</w:t>
      </w:r>
    </w:p>
    <w:p w14:paraId="72741029" w14:textId="2591613D" w:rsidR="006811E3" w:rsidRDefault="00F569ED" w:rsidP="00376AC0">
      <w:pPr>
        <w:spacing w:line="240" w:lineRule="auto"/>
        <w:ind w:firstLine="851"/>
        <w:rPr>
          <w:bCs/>
        </w:rPr>
      </w:pPr>
      <w:r w:rsidRPr="00F569ED">
        <w:t xml:space="preserve">Informacija apie </w:t>
      </w:r>
      <w:r>
        <w:t>pasiū</w:t>
      </w:r>
      <w:r w:rsidR="00376AC0">
        <w:t>lymų įgyvendinimą pateikta Kultūros ministerijos</w:t>
      </w:r>
      <w:r w:rsidRPr="00F569ED">
        <w:t xml:space="preserve"> </w:t>
      </w:r>
      <w:r w:rsidR="00376AC0">
        <w:t>2020 m. kovo 17</w:t>
      </w:r>
      <w:r w:rsidRPr="00F569ED">
        <w:t xml:space="preserve"> d. raš</w:t>
      </w:r>
      <w:r>
        <w:t xml:space="preserve">tu Nr. </w:t>
      </w:r>
      <w:r w:rsidR="00376AC0" w:rsidRPr="00376AC0">
        <w:rPr>
          <w:bCs/>
        </w:rPr>
        <w:t>S2-700.</w:t>
      </w:r>
    </w:p>
    <w:p w14:paraId="554C2DD0" w14:textId="77777777" w:rsidR="00376AC0" w:rsidRPr="00011272" w:rsidRDefault="00376AC0" w:rsidP="00376AC0">
      <w:pPr>
        <w:spacing w:line="240" w:lineRule="auto"/>
        <w:ind w:firstLine="851"/>
        <w:rPr>
          <w:b/>
        </w:rPr>
      </w:pPr>
    </w:p>
    <w:tbl>
      <w:tblPr>
        <w:tblpPr w:leftFromText="180" w:rightFromText="180" w:vertAnchor="text" w:tblpY="1"/>
        <w:tblOverlap w:val="never"/>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401"/>
        <w:gridCol w:w="6230"/>
        <w:gridCol w:w="3908"/>
      </w:tblGrid>
      <w:tr w:rsidR="002265A2" w:rsidRPr="00011272" w14:paraId="2D3E535A" w14:textId="77777777" w:rsidTr="009F503E">
        <w:trPr>
          <w:trHeight w:val="885"/>
        </w:trPr>
        <w:tc>
          <w:tcPr>
            <w:tcW w:w="576" w:type="dxa"/>
          </w:tcPr>
          <w:p w14:paraId="699CDFBD" w14:textId="77777777" w:rsidR="00801591" w:rsidRPr="00011272" w:rsidRDefault="00801591" w:rsidP="00522585">
            <w:pPr>
              <w:spacing w:line="400" w:lineRule="exact"/>
              <w:ind w:left="-897" w:right="-147" w:firstLine="851"/>
            </w:pPr>
          </w:p>
        </w:tc>
        <w:tc>
          <w:tcPr>
            <w:tcW w:w="4401" w:type="dxa"/>
          </w:tcPr>
          <w:p w14:paraId="424056C3" w14:textId="77777777" w:rsidR="00801591" w:rsidRPr="00011272" w:rsidRDefault="00801591" w:rsidP="00522585">
            <w:pPr>
              <w:spacing w:line="400" w:lineRule="exact"/>
              <w:ind w:firstLine="0"/>
              <w:jc w:val="center"/>
              <w:rPr>
                <w:b/>
                <w:i/>
              </w:rPr>
            </w:pPr>
            <w:r w:rsidRPr="00011272">
              <w:rPr>
                <w:b/>
                <w:i/>
              </w:rPr>
              <w:t>Rekomendacija</w:t>
            </w:r>
          </w:p>
        </w:tc>
        <w:tc>
          <w:tcPr>
            <w:tcW w:w="6230" w:type="dxa"/>
          </w:tcPr>
          <w:p w14:paraId="394D4F68" w14:textId="78EB1422" w:rsidR="00801591" w:rsidRPr="00011272" w:rsidRDefault="00376AC0" w:rsidP="00B70695">
            <w:pPr>
              <w:spacing w:line="240" w:lineRule="auto"/>
              <w:ind w:firstLine="0"/>
              <w:jc w:val="center"/>
              <w:rPr>
                <w:b/>
                <w:i/>
              </w:rPr>
            </w:pPr>
            <w:r>
              <w:rPr>
                <w:b/>
                <w:i/>
              </w:rPr>
              <w:t>Kultūros ministerijos</w:t>
            </w:r>
            <w:r w:rsidR="00F478F2">
              <w:rPr>
                <w:b/>
                <w:i/>
              </w:rPr>
              <w:t>, Aplinkos ministerijos</w:t>
            </w:r>
            <w:r>
              <w:rPr>
                <w:b/>
                <w:i/>
              </w:rPr>
              <w:t xml:space="preserve"> ir KPD</w:t>
            </w:r>
            <w:r w:rsidR="00C12DDF">
              <w:rPr>
                <w:b/>
                <w:i/>
              </w:rPr>
              <w:t xml:space="preserve"> </w:t>
            </w:r>
            <w:r w:rsidR="00B70695">
              <w:rPr>
                <w:b/>
                <w:i/>
              </w:rPr>
              <w:t>numatytos</w:t>
            </w:r>
            <w:r w:rsidR="002409EB" w:rsidRPr="00011272">
              <w:rPr>
                <w:b/>
                <w:i/>
              </w:rPr>
              <w:t xml:space="preserve"> priemonės rekomendacijoms įgyvendinti</w:t>
            </w:r>
          </w:p>
        </w:tc>
        <w:tc>
          <w:tcPr>
            <w:tcW w:w="3908" w:type="dxa"/>
          </w:tcPr>
          <w:p w14:paraId="65EC1714" w14:textId="77777777" w:rsidR="00801591" w:rsidRPr="00011272" w:rsidRDefault="00801591" w:rsidP="00522585">
            <w:pPr>
              <w:spacing w:line="240" w:lineRule="auto"/>
              <w:ind w:firstLine="0"/>
              <w:jc w:val="center"/>
              <w:rPr>
                <w:b/>
                <w:i/>
              </w:rPr>
            </w:pPr>
            <w:r w:rsidRPr="00011272">
              <w:rPr>
                <w:b/>
                <w:i/>
              </w:rPr>
              <w:t>STT nuomonė</w:t>
            </w:r>
            <w:r w:rsidR="00EB0BB2" w:rsidRPr="00011272">
              <w:rPr>
                <w:b/>
                <w:i/>
              </w:rPr>
              <w:t xml:space="preserve"> dėl </w:t>
            </w:r>
            <w:r w:rsidR="006E1C8E" w:rsidRPr="00011272">
              <w:rPr>
                <w:b/>
                <w:i/>
              </w:rPr>
              <w:t xml:space="preserve">rekomendacijos </w:t>
            </w:r>
            <w:r w:rsidR="00EB0BB2" w:rsidRPr="00011272">
              <w:rPr>
                <w:b/>
                <w:i/>
              </w:rPr>
              <w:t>įgyvendinimo ir siūlymai</w:t>
            </w:r>
          </w:p>
        </w:tc>
      </w:tr>
      <w:tr w:rsidR="000D1B1D" w:rsidRPr="00011272" w14:paraId="4FFAE17B" w14:textId="77777777" w:rsidTr="009F503E">
        <w:trPr>
          <w:trHeight w:val="430"/>
        </w:trPr>
        <w:tc>
          <w:tcPr>
            <w:tcW w:w="15115" w:type="dxa"/>
            <w:gridSpan w:val="4"/>
          </w:tcPr>
          <w:p w14:paraId="4B106B8D" w14:textId="57CF861D" w:rsidR="000D1B1D" w:rsidRPr="00C91EAA" w:rsidRDefault="00C91EAA" w:rsidP="00F478F2">
            <w:pPr>
              <w:spacing w:after="160" w:line="240" w:lineRule="auto"/>
              <w:ind w:firstLine="0"/>
              <w:rPr>
                <w:rFonts w:eastAsiaTheme="minorHAnsi"/>
                <w:i/>
              </w:rPr>
            </w:pPr>
            <w:r w:rsidRPr="00C91EAA">
              <w:rPr>
                <w:i/>
              </w:rPr>
              <w:t>1.</w:t>
            </w:r>
            <w:r w:rsidR="000D1B1D" w:rsidRPr="00011272">
              <w:t xml:space="preserve"> </w:t>
            </w:r>
            <w:r w:rsidR="00F478F2" w:rsidRPr="00F478F2">
              <w:rPr>
                <w:i/>
              </w:rPr>
              <w:t xml:space="preserve">Pasiūlymai </w:t>
            </w:r>
            <w:r w:rsidR="00F478F2" w:rsidRPr="00784BDF">
              <w:rPr>
                <w:b/>
                <w:i/>
              </w:rPr>
              <w:t>KPD</w:t>
            </w:r>
            <w:r w:rsidR="00B70695" w:rsidRPr="00784BDF">
              <w:rPr>
                <w:b/>
                <w:i/>
              </w:rPr>
              <w:t xml:space="preserve"> </w:t>
            </w:r>
            <w:r w:rsidR="00F478F2">
              <w:rPr>
                <w:i/>
              </w:rPr>
              <w:t xml:space="preserve">dėl </w:t>
            </w:r>
            <w:r w:rsidR="00B70695">
              <w:rPr>
                <w:i/>
              </w:rPr>
              <w:t xml:space="preserve">korupcijos </w:t>
            </w:r>
            <w:r w:rsidR="00501F45">
              <w:rPr>
                <w:i/>
              </w:rPr>
              <w:t>rizikos</w:t>
            </w:r>
            <w:r w:rsidR="00BF42E4">
              <w:rPr>
                <w:i/>
                <w:color w:val="000000" w:themeColor="text1"/>
              </w:rPr>
              <w:t xml:space="preserve"> ginant viešąjį interesą ir nustatant jo pažeidimus </w:t>
            </w:r>
            <w:r w:rsidR="00F478F2">
              <w:rPr>
                <w:i/>
                <w:color w:val="000000" w:themeColor="text1"/>
              </w:rPr>
              <w:t>nekilnojamojo kultūros paveldo apsaugos</w:t>
            </w:r>
            <w:r w:rsidR="00BF42E4">
              <w:rPr>
                <w:i/>
                <w:color w:val="000000" w:themeColor="text1"/>
              </w:rPr>
              <w:t xml:space="preserve"> srityje</w:t>
            </w:r>
            <w:r w:rsidR="00A27A53">
              <w:rPr>
                <w:i/>
              </w:rPr>
              <w:t xml:space="preserve"> </w:t>
            </w:r>
            <w:r w:rsidR="00B70695">
              <w:rPr>
                <w:i/>
              </w:rPr>
              <w:t>mažinimo:</w:t>
            </w:r>
          </w:p>
        </w:tc>
      </w:tr>
      <w:tr w:rsidR="004E6F96" w:rsidRPr="00011272" w14:paraId="752B304E" w14:textId="77777777" w:rsidTr="009F503E">
        <w:trPr>
          <w:trHeight w:val="1206"/>
        </w:trPr>
        <w:tc>
          <w:tcPr>
            <w:tcW w:w="576" w:type="dxa"/>
          </w:tcPr>
          <w:p w14:paraId="66A8FCAE" w14:textId="77777777" w:rsidR="004E6F96" w:rsidRPr="00011272" w:rsidRDefault="004E6F96" w:rsidP="00522585">
            <w:pPr>
              <w:spacing w:line="400" w:lineRule="exact"/>
              <w:ind w:left="-579" w:right="-147" w:firstLine="579"/>
            </w:pPr>
            <w:r w:rsidRPr="00011272">
              <w:t>1.1</w:t>
            </w:r>
          </w:p>
        </w:tc>
        <w:tc>
          <w:tcPr>
            <w:tcW w:w="4401" w:type="dxa"/>
          </w:tcPr>
          <w:p w14:paraId="03EF3749" w14:textId="524B7920" w:rsidR="00501F45" w:rsidRPr="00501F45" w:rsidRDefault="00276CA4" w:rsidP="00501F45">
            <w:pPr>
              <w:tabs>
                <w:tab w:val="left" w:pos="0"/>
              </w:tabs>
              <w:spacing w:line="240" w:lineRule="auto"/>
              <w:ind w:firstLine="0"/>
              <w:rPr>
                <w:iCs/>
              </w:rPr>
            </w:pPr>
            <w:r>
              <w:t xml:space="preserve"> </w:t>
            </w:r>
            <w:r w:rsidR="00501F45">
              <w:t>1.</w:t>
            </w:r>
            <w:r w:rsidR="00501F45" w:rsidRPr="00501F45">
              <w:t xml:space="preserve"> Parengti ir patvirtinti viešojo intereso gynimo taisykles ar tvarkos aprašą. Apraše nurodyti, kaip Kultūros paveldo departamento tarnautojai gali nustatyti galimus viešojo intereso pažeidimus, kas vykdo viešojo intereso pažeidimų nustatymo ir nagrinėjimo funkcijas, kas priima galutinį sprendimą dėl pažeisto viešojo intereso gynimo kreipiantis į teismą ar prokuratūrą, kas turi būti nurodoma išvadoje, kai kreipiamasi į teismą ar prokuratūrą siekiant ginti galimai pažeistą viešąjį interesą, sprendimų apskundimo tvarką, terminus ir kitas būtinas nuostatas.</w:t>
            </w:r>
          </w:p>
          <w:p w14:paraId="7BF2869C" w14:textId="34729153" w:rsidR="004E6F96" w:rsidRPr="00BF341E" w:rsidRDefault="00501F45" w:rsidP="00501F45">
            <w:pPr>
              <w:tabs>
                <w:tab w:val="left" w:pos="0"/>
              </w:tabs>
              <w:spacing w:line="240" w:lineRule="auto"/>
              <w:ind w:firstLine="0"/>
              <w:rPr>
                <w:rFonts w:eastAsiaTheme="minorHAnsi"/>
              </w:rPr>
            </w:pPr>
            <w:r w:rsidRPr="00501F45">
              <w:t>2. Rengiant viešojo intereso gynimo tvarkos aprašo ar taisyklių nuostatas, aiškiai apibrėžti atvejus, kuriais Kultūros paveldo departamentas ir jo teritoriniai padaliniai, gindami pažeistą viešąjį interesą, teikia ieškinius teismui, o kuriais kreipiasi į prokuratūrą, prašydami apginti pažeistą viešąjį interesą.</w:t>
            </w:r>
          </w:p>
        </w:tc>
        <w:tc>
          <w:tcPr>
            <w:tcW w:w="6230" w:type="dxa"/>
          </w:tcPr>
          <w:p w14:paraId="01662AD4" w14:textId="5DB622C6" w:rsidR="005D4684" w:rsidRPr="005D4684" w:rsidRDefault="005D4684" w:rsidP="0043634B">
            <w:pPr>
              <w:spacing w:line="240" w:lineRule="auto"/>
              <w:ind w:firstLine="0"/>
              <w:rPr>
                <w:rFonts w:eastAsiaTheme="minorHAnsi"/>
              </w:rPr>
            </w:pPr>
            <w:r>
              <w:t>Kultūros ministerija</w:t>
            </w:r>
            <w:r w:rsidR="00EE7127" w:rsidRPr="00E36C72">
              <w:t xml:space="preserve"> </w:t>
            </w:r>
            <w:r w:rsidR="00EE7127">
              <w:t xml:space="preserve">informavo, </w:t>
            </w:r>
            <w:r w:rsidR="00EE7127" w:rsidRPr="00E36C72">
              <w:t>kad</w:t>
            </w:r>
            <w:r w:rsidR="00EE7127" w:rsidRPr="005D4684">
              <w:rPr>
                <w:b/>
              </w:rPr>
              <w:t xml:space="preserve"> </w:t>
            </w:r>
            <w:r w:rsidRPr="005D4684">
              <w:rPr>
                <w:rFonts w:eastAsiaTheme="minorHAnsi"/>
              </w:rPr>
              <w:t xml:space="preserve"> Kultūros paveldo departamentas parengs ir patvirtins </w:t>
            </w:r>
            <w:r>
              <w:rPr>
                <w:rFonts w:eastAsiaTheme="minorHAnsi"/>
              </w:rPr>
              <w:t>Viešojo intereso gynimo</w:t>
            </w:r>
            <w:r w:rsidRPr="005D4684">
              <w:rPr>
                <w:rFonts w:eastAsiaTheme="minorHAnsi"/>
              </w:rPr>
              <w:t xml:space="preserve"> tvarkos aprašą. </w:t>
            </w:r>
            <w:r w:rsidRPr="005D4684">
              <w:rPr>
                <w:rFonts w:eastAsiaTheme="minorHAnsi"/>
                <w:i/>
              </w:rPr>
              <w:t xml:space="preserve">(III – IV </w:t>
            </w:r>
            <w:proofErr w:type="spellStart"/>
            <w:r w:rsidRPr="005D4684">
              <w:rPr>
                <w:rFonts w:eastAsiaTheme="minorHAnsi"/>
                <w:i/>
              </w:rPr>
              <w:t>ketv</w:t>
            </w:r>
            <w:proofErr w:type="spellEnd"/>
            <w:r w:rsidRPr="005D4684">
              <w:rPr>
                <w:rFonts w:eastAsiaTheme="minorHAnsi"/>
                <w:i/>
              </w:rPr>
              <w:t>.)</w:t>
            </w:r>
          </w:p>
          <w:p w14:paraId="34100F5E" w14:textId="1AB391DF" w:rsidR="00BD0CA5" w:rsidRDefault="00BD0CA5" w:rsidP="00A85800">
            <w:pPr>
              <w:pStyle w:val="Porat"/>
              <w:spacing w:after="20" w:line="240" w:lineRule="auto"/>
              <w:ind w:firstLine="0"/>
            </w:pPr>
          </w:p>
          <w:p w14:paraId="75EFC843" w14:textId="77777777" w:rsidR="00A85800" w:rsidRPr="00BD0CA5" w:rsidRDefault="00A85800" w:rsidP="00BD0CA5">
            <w:pPr>
              <w:jc w:val="center"/>
            </w:pPr>
          </w:p>
        </w:tc>
        <w:tc>
          <w:tcPr>
            <w:tcW w:w="3908" w:type="dxa"/>
          </w:tcPr>
          <w:p w14:paraId="008626BB" w14:textId="0A364DAF" w:rsidR="007E6115" w:rsidRPr="00254056" w:rsidRDefault="007E6115" w:rsidP="009F503E">
            <w:pPr>
              <w:spacing w:line="240" w:lineRule="auto"/>
              <w:ind w:firstLine="0"/>
              <w:rPr>
                <w:b/>
                <w:color w:val="2E74B5" w:themeColor="accent1" w:themeShade="BF"/>
              </w:rPr>
            </w:pPr>
            <w:r w:rsidRPr="00254056">
              <w:rPr>
                <w:b/>
                <w:color w:val="2E74B5" w:themeColor="accent1" w:themeShade="BF"/>
              </w:rPr>
              <w:t>Atsižvelgta.</w:t>
            </w:r>
          </w:p>
          <w:p w14:paraId="47C20EEB" w14:textId="00CAD626" w:rsidR="004E6F96" w:rsidRPr="009F503E" w:rsidRDefault="00384A10" w:rsidP="009F503E">
            <w:pPr>
              <w:spacing w:line="240" w:lineRule="auto"/>
              <w:ind w:firstLine="0"/>
              <w:rPr>
                <w:b/>
                <w:i/>
              </w:rPr>
            </w:pPr>
            <w:r>
              <w:rPr>
                <w:b/>
              </w:rPr>
              <w:t>Pasiūlymus</w:t>
            </w:r>
            <w:r w:rsidR="004D15D6">
              <w:rPr>
                <w:b/>
              </w:rPr>
              <w:t xml:space="preserve"> </w:t>
            </w:r>
            <w:r w:rsidR="0033344C">
              <w:rPr>
                <w:b/>
              </w:rPr>
              <w:t xml:space="preserve">planuojama </w:t>
            </w:r>
            <w:r w:rsidR="009F503E">
              <w:rPr>
                <w:b/>
              </w:rPr>
              <w:t xml:space="preserve">įgyvendinti š. m. </w:t>
            </w:r>
            <w:r w:rsidR="009F503E" w:rsidRPr="009F503E">
              <w:rPr>
                <w:b/>
              </w:rPr>
              <w:t>III-IV ketvirtį.</w:t>
            </w:r>
          </w:p>
          <w:p w14:paraId="5E1C0CFD" w14:textId="4C3DEB3D" w:rsidR="00285F71" w:rsidRPr="004E6F96" w:rsidRDefault="00285F71" w:rsidP="00285F71">
            <w:pPr>
              <w:spacing w:line="240" w:lineRule="auto"/>
              <w:ind w:firstLine="0"/>
              <w:rPr>
                <w:b/>
              </w:rPr>
            </w:pPr>
          </w:p>
        </w:tc>
      </w:tr>
      <w:tr w:rsidR="004E6F96" w:rsidRPr="00011272" w14:paraId="59AD6C48" w14:textId="77777777" w:rsidTr="009F503E">
        <w:tc>
          <w:tcPr>
            <w:tcW w:w="576" w:type="dxa"/>
          </w:tcPr>
          <w:p w14:paraId="14E91DD8" w14:textId="5F73A66F" w:rsidR="004E6F96" w:rsidRPr="00011272" w:rsidRDefault="004E6F96" w:rsidP="00522585">
            <w:pPr>
              <w:spacing w:line="400" w:lineRule="exact"/>
              <w:ind w:left="-897" w:right="-147" w:firstLine="851"/>
            </w:pPr>
            <w:r w:rsidRPr="00011272">
              <w:t>1.2.</w:t>
            </w:r>
          </w:p>
        </w:tc>
        <w:tc>
          <w:tcPr>
            <w:tcW w:w="4401" w:type="dxa"/>
          </w:tcPr>
          <w:p w14:paraId="4E2AA489" w14:textId="61CBBA8E" w:rsidR="004E6F96" w:rsidRPr="00765098" w:rsidRDefault="00501F45" w:rsidP="00501F45">
            <w:pPr>
              <w:tabs>
                <w:tab w:val="left" w:pos="0"/>
              </w:tabs>
              <w:spacing w:line="240" w:lineRule="auto"/>
              <w:ind w:firstLine="0"/>
              <w:rPr>
                <w:rFonts w:eastAsia="Times New Roman"/>
                <w:lang w:eastAsia="lt-LT"/>
              </w:rPr>
            </w:pPr>
            <w:r w:rsidRPr="00501F45">
              <w:rPr>
                <w:rFonts w:eastAsiaTheme="minorHAnsi"/>
                <w:lang w:eastAsia="lt-LT"/>
              </w:rPr>
              <w:t xml:space="preserve">Parengti ir patvirtinti išsamią fizinių ir juridinių asmenų prašymų, skundų, pranešimų nagrinėjimo tvarką (gerosios praktikos pavyzdys galėtų būti Valstybinės teritorijų planavimo ir statybos inspekcijos prie Aplinkos ministerijos (toliau – VTPSI) parengtos ir patvirtintos asmenų prašymų, </w:t>
            </w:r>
            <w:r w:rsidRPr="00501F45">
              <w:rPr>
                <w:rFonts w:eastAsiaTheme="minorHAnsi"/>
                <w:lang w:eastAsia="lt-LT"/>
              </w:rPr>
              <w:lastRenderedPageBreak/>
              <w:t>skundų, pranešimų nagrinėjimo ir asmenų aptarnavimo taisyklės).</w:t>
            </w:r>
          </w:p>
        </w:tc>
        <w:tc>
          <w:tcPr>
            <w:tcW w:w="6230" w:type="dxa"/>
          </w:tcPr>
          <w:p w14:paraId="54F6F708" w14:textId="1BA17448" w:rsidR="00A60430" w:rsidRPr="00011272" w:rsidRDefault="005D4684" w:rsidP="009F503E">
            <w:pPr>
              <w:spacing w:line="240" w:lineRule="auto"/>
              <w:ind w:firstLine="0"/>
            </w:pPr>
            <w:r>
              <w:lastRenderedPageBreak/>
              <w:t>Kultūros ministerija</w:t>
            </w:r>
            <w:r w:rsidR="00E36C72" w:rsidRPr="00E36C72">
              <w:t xml:space="preserve"> </w:t>
            </w:r>
            <w:r w:rsidR="00E36C72">
              <w:t xml:space="preserve">informavo, </w:t>
            </w:r>
            <w:r w:rsidR="00E36C72" w:rsidRPr="00E36C72">
              <w:t>kad</w:t>
            </w:r>
            <w:r w:rsidR="00E36C72" w:rsidRPr="00483A12">
              <w:rPr>
                <w:b/>
              </w:rPr>
              <w:t xml:space="preserve"> </w:t>
            </w:r>
            <w:r w:rsidRPr="009C12F5">
              <w:t xml:space="preserve"> </w:t>
            </w:r>
            <w:r>
              <w:t>KPD parengs ir patvirtins</w:t>
            </w:r>
            <w:r w:rsidRPr="009C12F5">
              <w:t xml:space="preserve"> </w:t>
            </w:r>
            <w:r w:rsidR="009F503E">
              <w:t>p</w:t>
            </w:r>
            <w:r w:rsidRPr="00525274">
              <w:t>rašymų, pranešimų, skundų nagrinėjimo tvarkos aprašą</w:t>
            </w:r>
            <w:r>
              <w:t xml:space="preserve"> </w:t>
            </w:r>
            <w:r w:rsidRPr="009C12F5">
              <w:rPr>
                <w:i/>
              </w:rPr>
              <w:t xml:space="preserve">(III-IV </w:t>
            </w:r>
            <w:proofErr w:type="spellStart"/>
            <w:r w:rsidRPr="009C12F5">
              <w:rPr>
                <w:i/>
              </w:rPr>
              <w:t>ketv</w:t>
            </w:r>
            <w:proofErr w:type="spellEnd"/>
            <w:r w:rsidRPr="009C12F5">
              <w:rPr>
                <w:i/>
              </w:rPr>
              <w:t>.)</w:t>
            </w:r>
          </w:p>
        </w:tc>
        <w:tc>
          <w:tcPr>
            <w:tcW w:w="3908" w:type="dxa"/>
          </w:tcPr>
          <w:p w14:paraId="2C0A29AB" w14:textId="77777777" w:rsidR="007E6115" w:rsidRPr="00DD743E" w:rsidRDefault="007E6115" w:rsidP="007E6115">
            <w:pPr>
              <w:spacing w:line="240" w:lineRule="auto"/>
              <w:ind w:firstLine="0"/>
              <w:rPr>
                <w:b/>
                <w:color w:val="2E74B5" w:themeColor="accent1" w:themeShade="BF"/>
              </w:rPr>
            </w:pPr>
            <w:r w:rsidRPr="00DD743E">
              <w:rPr>
                <w:b/>
                <w:color w:val="2E74B5" w:themeColor="accent1" w:themeShade="BF"/>
              </w:rPr>
              <w:t>Atsižvelgta.</w:t>
            </w:r>
          </w:p>
          <w:p w14:paraId="7DFAA8A2" w14:textId="77777777" w:rsidR="009F503E" w:rsidRPr="009F503E" w:rsidRDefault="009F503E" w:rsidP="009F503E">
            <w:pPr>
              <w:spacing w:line="240" w:lineRule="auto"/>
              <w:ind w:firstLine="0"/>
              <w:rPr>
                <w:b/>
                <w:i/>
              </w:rPr>
            </w:pPr>
            <w:r>
              <w:rPr>
                <w:b/>
              </w:rPr>
              <w:t xml:space="preserve">Pasiūlymą planuojama įgyvendinti š. m. </w:t>
            </w:r>
            <w:r w:rsidRPr="009F503E">
              <w:rPr>
                <w:b/>
              </w:rPr>
              <w:t>III-IV ketvirtį.</w:t>
            </w:r>
          </w:p>
          <w:p w14:paraId="216FD0E4" w14:textId="611F0473" w:rsidR="004E5FC2" w:rsidRPr="006E202A" w:rsidRDefault="004E5FC2" w:rsidP="00FC1812">
            <w:pPr>
              <w:spacing w:line="240" w:lineRule="auto"/>
              <w:ind w:firstLine="0"/>
            </w:pPr>
          </w:p>
        </w:tc>
      </w:tr>
      <w:tr w:rsidR="004E6F96" w:rsidRPr="00011272" w14:paraId="527844CB" w14:textId="77777777" w:rsidTr="009F503E">
        <w:tc>
          <w:tcPr>
            <w:tcW w:w="576" w:type="dxa"/>
          </w:tcPr>
          <w:p w14:paraId="60952666" w14:textId="0B7742F3" w:rsidR="004E6F96" w:rsidRPr="00011272" w:rsidRDefault="004E6F96" w:rsidP="00522585">
            <w:pPr>
              <w:spacing w:line="400" w:lineRule="exact"/>
              <w:ind w:left="-897" w:right="-147" w:firstLine="851"/>
            </w:pPr>
            <w:r>
              <w:lastRenderedPageBreak/>
              <w:t xml:space="preserve">1.3. </w:t>
            </w:r>
          </w:p>
        </w:tc>
        <w:tc>
          <w:tcPr>
            <w:tcW w:w="4401" w:type="dxa"/>
          </w:tcPr>
          <w:p w14:paraId="54EF0D37" w14:textId="27B4F1F7" w:rsidR="004E6F96" w:rsidRPr="00765098" w:rsidRDefault="00501F45" w:rsidP="00522585">
            <w:pPr>
              <w:pStyle w:val="Pagrindiniotekstotrauka"/>
              <w:ind w:left="0"/>
              <w:jc w:val="both"/>
              <w:rPr>
                <w:rFonts w:ascii="Times New Roman" w:hAnsi="Times New Roman"/>
                <w:sz w:val="24"/>
                <w:szCs w:val="24"/>
                <w:lang w:val="lt-LT"/>
              </w:rPr>
            </w:pPr>
            <w:r w:rsidRPr="00501F45">
              <w:rPr>
                <w:rFonts w:ascii="Times New Roman" w:hAnsi="Times New Roman"/>
                <w:iCs/>
                <w:sz w:val="24"/>
                <w:szCs w:val="24"/>
                <w:lang w:val="lt-LT"/>
              </w:rPr>
              <w:t>Nustačius atvejus, kai tenka ginčyti savo institucijos anksčiau priimtus sprendimus, juos priėmusiems (ar tinkamų sprendimų nepriėmusiems) pareigūnams, po to, kai teismas konstatuoja vienokius ar kitokius teisės aktų pažeidimus, padarytus Kultūros paveldo departamento darbuotojų, laikytis atsakomybės neišvengiamumo principo ir spręsti dėl tarnybinės atsakomybės taikymo.</w:t>
            </w:r>
          </w:p>
        </w:tc>
        <w:tc>
          <w:tcPr>
            <w:tcW w:w="6230" w:type="dxa"/>
          </w:tcPr>
          <w:p w14:paraId="71DAE1FA" w14:textId="6E93FD3F" w:rsidR="0028265F" w:rsidRPr="00AA4DB3" w:rsidRDefault="005D4684" w:rsidP="00E36C72">
            <w:pPr>
              <w:widowControl w:val="0"/>
              <w:spacing w:line="240" w:lineRule="auto"/>
              <w:ind w:firstLine="0"/>
              <w:rPr>
                <w:rFonts w:eastAsia="Times New Roman"/>
                <w:lang w:eastAsia="lt-LT"/>
              </w:rPr>
            </w:pPr>
            <w:r>
              <w:t>Kultūros ministerija</w:t>
            </w:r>
            <w:r w:rsidRPr="00E36C72">
              <w:t xml:space="preserve"> </w:t>
            </w:r>
            <w:r>
              <w:t xml:space="preserve">informavo, </w:t>
            </w:r>
            <w:r w:rsidRPr="00E36C72">
              <w:t>kad</w:t>
            </w:r>
            <w:r w:rsidRPr="00483A12">
              <w:rPr>
                <w:b/>
              </w:rPr>
              <w:t xml:space="preserve"> </w:t>
            </w:r>
            <w:r w:rsidRPr="009C12F5">
              <w:t xml:space="preserve"> </w:t>
            </w:r>
            <w:r>
              <w:t>KPD</w:t>
            </w:r>
            <w:r w:rsidRPr="009C12F5">
              <w:t xml:space="preserve"> pareng</w:t>
            </w:r>
            <w:r>
              <w:t xml:space="preserve">s ir patvirtins </w:t>
            </w:r>
            <w:r w:rsidRPr="00525274">
              <w:t>atitinkamą vidaus tvarkos aprašą</w:t>
            </w:r>
            <w:r w:rsidRPr="009C12F5">
              <w:t xml:space="preserve"> </w:t>
            </w:r>
            <w:r w:rsidRPr="009C12F5">
              <w:rPr>
                <w:i/>
              </w:rPr>
              <w:t xml:space="preserve">(III-IV </w:t>
            </w:r>
            <w:proofErr w:type="spellStart"/>
            <w:r w:rsidRPr="009C12F5">
              <w:rPr>
                <w:i/>
              </w:rPr>
              <w:t>ketv</w:t>
            </w:r>
            <w:proofErr w:type="spellEnd"/>
            <w:r w:rsidRPr="009C12F5">
              <w:rPr>
                <w:i/>
              </w:rPr>
              <w:t>.)</w:t>
            </w:r>
          </w:p>
        </w:tc>
        <w:tc>
          <w:tcPr>
            <w:tcW w:w="3908" w:type="dxa"/>
          </w:tcPr>
          <w:p w14:paraId="12A6ADD7" w14:textId="77777777" w:rsidR="007E6115" w:rsidRPr="00DD743E" w:rsidRDefault="007E6115" w:rsidP="007E6115">
            <w:pPr>
              <w:spacing w:line="240" w:lineRule="auto"/>
              <w:ind w:firstLine="0"/>
              <w:rPr>
                <w:b/>
                <w:color w:val="2E74B5" w:themeColor="accent1" w:themeShade="BF"/>
              </w:rPr>
            </w:pPr>
            <w:r w:rsidRPr="00DD743E">
              <w:rPr>
                <w:b/>
                <w:color w:val="2E74B5" w:themeColor="accent1" w:themeShade="BF"/>
              </w:rPr>
              <w:t>Atsižvelgta.</w:t>
            </w:r>
          </w:p>
          <w:p w14:paraId="7BBF989E" w14:textId="77777777" w:rsidR="009F503E" w:rsidRPr="009F503E" w:rsidRDefault="009F503E" w:rsidP="009F503E">
            <w:pPr>
              <w:spacing w:line="240" w:lineRule="auto"/>
              <w:ind w:firstLine="0"/>
              <w:rPr>
                <w:b/>
                <w:i/>
              </w:rPr>
            </w:pPr>
            <w:r>
              <w:rPr>
                <w:b/>
              </w:rPr>
              <w:t xml:space="preserve">Pasiūlymą planuojama įgyvendinti š. m. </w:t>
            </w:r>
            <w:r w:rsidRPr="009F503E">
              <w:rPr>
                <w:b/>
              </w:rPr>
              <w:t>III-IV ketvirtį.</w:t>
            </w:r>
          </w:p>
          <w:p w14:paraId="751C1C58" w14:textId="3821978C" w:rsidR="005F4880" w:rsidRPr="00813AB0" w:rsidRDefault="005F4880" w:rsidP="00813AB0">
            <w:pPr>
              <w:spacing w:line="240" w:lineRule="auto"/>
              <w:ind w:firstLine="0"/>
              <w:rPr>
                <w:b/>
                <w:color w:val="FF0000"/>
              </w:rPr>
            </w:pPr>
          </w:p>
        </w:tc>
      </w:tr>
      <w:tr w:rsidR="00276CA4" w:rsidRPr="00011272" w14:paraId="10677A02" w14:textId="77777777" w:rsidTr="009F503E">
        <w:tc>
          <w:tcPr>
            <w:tcW w:w="576" w:type="dxa"/>
          </w:tcPr>
          <w:p w14:paraId="05E3F375" w14:textId="3BB9EDA9" w:rsidR="00276CA4" w:rsidRDefault="00017127" w:rsidP="00522585">
            <w:pPr>
              <w:spacing w:line="400" w:lineRule="exact"/>
              <w:ind w:left="-897" w:right="-147" w:firstLine="851"/>
            </w:pPr>
            <w:r>
              <w:t>1.4.</w:t>
            </w:r>
          </w:p>
        </w:tc>
        <w:tc>
          <w:tcPr>
            <w:tcW w:w="4401" w:type="dxa"/>
          </w:tcPr>
          <w:p w14:paraId="14FF85C1" w14:textId="1FF6505C" w:rsidR="00276CA4" w:rsidRPr="0043634B" w:rsidRDefault="00501F45" w:rsidP="00522585">
            <w:pPr>
              <w:pStyle w:val="Pagrindiniotekstotrauka"/>
              <w:ind w:left="0"/>
              <w:jc w:val="both"/>
              <w:rPr>
                <w:rFonts w:ascii="Times New Roman" w:hAnsi="Times New Roman"/>
                <w:i/>
                <w:sz w:val="24"/>
                <w:szCs w:val="24"/>
                <w:lang w:val="lt-LT"/>
              </w:rPr>
            </w:pPr>
            <w:r w:rsidRPr="0043634B">
              <w:rPr>
                <w:rFonts w:ascii="Times New Roman" w:hAnsi="Times New Roman"/>
                <w:iCs/>
                <w:sz w:val="24"/>
                <w:szCs w:val="24"/>
                <w:lang w:val="lt-LT"/>
              </w:rPr>
              <w:t>Imtis aktyvių veiksmų ir stiprinti metodinio vadovavimo ir vidaus kontrolės mechanizmą</w:t>
            </w:r>
            <w:r w:rsidRPr="0043634B">
              <w:rPr>
                <w:iCs/>
                <w:lang w:val="lt-LT"/>
              </w:rPr>
              <w:t>.</w:t>
            </w:r>
          </w:p>
        </w:tc>
        <w:tc>
          <w:tcPr>
            <w:tcW w:w="6230" w:type="dxa"/>
          </w:tcPr>
          <w:p w14:paraId="29BB0412" w14:textId="56010E18" w:rsidR="00276CA4" w:rsidRPr="00B76915" w:rsidRDefault="005D4684" w:rsidP="005D4684">
            <w:pPr>
              <w:widowControl w:val="0"/>
              <w:spacing w:line="240" w:lineRule="auto"/>
              <w:ind w:firstLine="0"/>
              <w:rPr>
                <w:b/>
              </w:rPr>
            </w:pPr>
            <w:r>
              <w:t>Kultūros ministerija</w:t>
            </w:r>
            <w:r w:rsidRPr="00E36C72">
              <w:t xml:space="preserve"> </w:t>
            </w:r>
            <w:r>
              <w:t xml:space="preserve">informavo, </w:t>
            </w:r>
            <w:r w:rsidRPr="00E36C72">
              <w:t>kad</w:t>
            </w:r>
            <w:r w:rsidR="00784BDF">
              <w:rPr>
                <w:b/>
              </w:rPr>
              <w:t xml:space="preserve"> </w:t>
            </w:r>
            <w:r w:rsidRPr="00B71DB1">
              <w:t xml:space="preserve">metodinio vadovavimo stiprinimas </w:t>
            </w:r>
            <w:r w:rsidRPr="00B71DB1">
              <w:rPr>
                <w:iCs/>
              </w:rPr>
              <w:t xml:space="preserve">numatytas </w:t>
            </w:r>
            <w:r>
              <w:rPr>
                <w:iCs/>
              </w:rPr>
              <w:t>KPD</w:t>
            </w:r>
            <w:r w:rsidRPr="00B71DB1">
              <w:rPr>
                <w:iCs/>
              </w:rPr>
              <w:t xml:space="preserve"> direktoriaus 2020 m. metin</w:t>
            </w:r>
            <w:r>
              <w:rPr>
                <w:iCs/>
              </w:rPr>
              <w:t>ėse užduotyse</w:t>
            </w:r>
            <w:r w:rsidRPr="00B71DB1">
              <w:rPr>
                <w:iCs/>
              </w:rPr>
              <w:t xml:space="preserve">. Siekiant stiprinti </w:t>
            </w:r>
            <w:r>
              <w:rPr>
                <w:iCs/>
              </w:rPr>
              <w:t xml:space="preserve">metodinį vadovavimą, išorės ir </w:t>
            </w:r>
            <w:r w:rsidRPr="00B71DB1">
              <w:rPr>
                <w:iCs/>
              </w:rPr>
              <w:t>vidaus kontrol</w:t>
            </w:r>
            <w:r>
              <w:rPr>
                <w:iCs/>
              </w:rPr>
              <w:t>ę d</w:t>
            </w:r>
            <w:r w:rsidRPr="00B71DB1">
              <w:rPr>
                <w:iCs/>
              </w:rPr>
              <w:t>epartamente ir jo teritoriniuose skyriuose</w:t>
            </w:r>
            <w:r>
              <w:rPr>
                <w:iCs/>
              </w:rPr>
              <w:t>,</w:t>
            </w:r>
            <w:r w:rsidRPr="00B71DB1">
              <w:rPr>
                <w:iCs/>
              </w:rPr>
              <w:t xml:space="preserve"> </w:t>
            </w:r>
            <w:r>
              <w:rPr>
                <w:iCs/>
              </w:rPr>
              <w:t>KPD</w:t>
            </w:r>
            <w:r w:rsidRPr="00B71DB1">
              <w:rPr>
                <w:iCs/>
              </w:rPr>
              <w:t xml:space="preserve"> pavesta parengti </w:t>
            </w:r>
            <w:r>
              <w:t>jo</w:t>
            </w:r>
            <w:r w:rsidRPr="00B71DB1">
              <w:t xml:space="preserve"> struktūros pertvarkos projektą</w:t>
            </w:r>
            <w:r>
              <w:t xml:space="preserve"> (</w:t>
            </w:r>
            <w:r w:rsidRPr="0081643A">
              <w:rPr>
                <w:i/>
                <w:iCs/>
              </w:rPr>
              <w:t xml:space="preserve">I-II </w:t>
            </w:r>
            <w:proofErr w:type="spellStart"/>
            <w:r w:rsidRPr="0081643A">
              <w:rPr>
                <w:i/>
                <w:iCs/>
              </w:rPr>
              <w:t>ketv</w:t>
            </w:r>
            <w:proofErr w:type="spellEnd"/>
            <w:r w:rsidRPr="0081643A">
              <w:rPr>
                <w:i/>
                <w:iCs/>
              </w:rPr>
              <w:t>.</w:t>
            </w:r>
            <w:r>
              <w:t>)</w:t>
            </w:r>
            <w:r w:rsidRPr="00B71DB1">
              <w:t>.</w:t>
            </w:r>
          </w:p>
        </w:tc>
        <w:tc>
          <w:tcPr>
            <w:tcW w:w="3908" w:type="dxa"/>
          </w:tcPr>
          <w:p w14:paraId="28BD0452" w14:textId="77777777" w:rsidR="007E6115" w:rsidRPr="00DD743E" w:rsidRDefault="007E6115" w:rsidP="007E6115">
            <w:pPr>
              <w:spacing w:line="240" w:lineRule="auto"/>
              <w:ind w:firstLine="0"/>
              <w:rPr>
                <w:b/>
                <w:color w:val="2E74B5" w:themeColor="accent1" w:themeShade="BF"/>
              </w:rPr>
            </w:pPr>
            <w:r w:rsidRPr="00DD743E">
              <w:rPr>
                <w:b/>
                <w:color w:val="2E74B5" w:themeColor="accent1" w:themeShade="BF"/>
              </w:rPr>
              <w:t>Atsižvelgta.</w:t>
            </w:r>
          </w:p>
          <w:p w14:paraId="3EEDC363" w14:textId="678E7497" w:rsidR="009F503E" w:rsidRPr="009F503E" w:rsidRDefault="009F503E" w:rsidP="009F503E">
            <w:pPr>
              <w:spacing w:line="240" w:lineRule="auto"/>
              <w:ind w:firstLine="0"/>
              <w:rPr>
                <w:b/>
                <w:i/>
              </w:rPr>
            </w:pPr>
            <w:r>
              <w:rPr>
                <w:b/>
              </w:rPr>
              <w:t>Pasiūlymą planuojama įgyvendinti š. m. I-II</w:t>
            </w:r>
            <w:r w:rsidRPr="009F503E">
              <w:rPr>
                <w:b/>
              </w:rPr>
              <w:t xml:space="preserve"> ketvirtį.</w:t>
            </w:r>
          </w:p>
          <w:p w14:paraId="069800E8" w14:textId="77777777" w:rsidR="00276CA4" w:rsidRPr="00415253" w:rsidRDefault="00276CA4" w:rsidP="00682C7A">
            <w:pPr>
              <w:spacing w:line="240" w:lineRule="auto"/>
              <w:ind w:firstLine="0"/>
              <w:rPr>
                <w:b/>
                <w:color w:val="FF0000"/>
              </w:rPr>
            </w:pPr>
          </w:p>
        </w:tc>
      </w:tr>
      <w:tr w:rsidR="00276CA4" w:rsidRPr="00011272" w14:paraId="7AB80505" w14:textId="77777777" w:rsidTr="009F503E">
        <w:tc>
          <w:tcPr>
            <w:tcW w:w="576" w:type="dxa"/>
          </w:tcPr>
          <w:p w14:paraId="1B368CB1" w14:textId="668BA8E7" w:rsidR="00276CA4" w:rsidRDefault="00017127" w:rsidP="00522585">
            <w:pPr>
              <w:spacing w:line="400" w:lineRule="exact"/>
              <w:ind w:left="-897" w:right="-147" w:firstLine="851"/>
            </w:pPr>
            <w:r>
              <w:t>1.5.</w:t>
            </w:r>
          </w:p>
        </w:tc>
        <w:tc>
          <w:tcPr>
            <w:tcW w:w="4401" w:type="dxa"/>
          </w:tcPr>
          <w:p w14:paraId="74369101" w14:textId="6C65D091" w:rsidR="00501F45" w:rsidRPr="00501F45" w:rsidRDefault="00501F45" w:rsidP="00501F45">
            <w:pPr>
              <w:spacing w:line="240" w:lineRule="auto"/>
              <w:ind w:firstLine="0"/>
              <w:contextualSpacing/>
              <w:rPr>
                <w:iCs/>
                <w:lang w:eastAsia="lt-LT"/>
              </w:rPr>
            </w:pPr>
            <w:r>
              <w:rPr>
                <w:lang w:eastAsia="lt-LT"/>
              </w:rPr>
              <w:t xml:space="preserve">1. </w:t>
            </w:r>
            <w:r w:rsidRPr="00501F45">
              <w:rPr>
                <w:lang w:eastAsia="lt-LT"/>
              </w:rPr>
              <w:t xml:space="preserve">Parengti ir patvirtinti teritorinių skyrių veiklos kontrolės gairių aprašą, </w:t>
            </w:r>
            <w:r w:rsidRPr="00501F45">
              <w:rPr>
                <w:iCs/>
                <w:lang w:eastAsia="lt-LT"/>
              </w:rPr>
              <w:t>kuris reglamentuotų  teritorinių skyrių kontrolės mechanizmą, patikrinimų atvejus, periodiškumą, patikrinimų planų rengimą ir  tvirtinimą Kultūros paveldo departamente.</w:t>
            </w:r>
          </w:p>
          <w:p w14:paraId="16C02F1B" w14:textId="07C89582" w:rsidR="00276CA4" w:rsidRPr="00017127" w:rsidRDefault="00501F45" w:rsidP="00501F45">
            <w:pPr>
              <w:tabs>
                <w:tab w:val="left" w:pos="720"/>
              </w:tabs>
              <w:spacing w:line="240" w:lineRule="auto"/>
              <w:ind w:firstLine="0"/>
              <w:contextualSpacing/>
              <w:rPr>
                <w:rFonts w:eastAsia="Times New Roman"/>
                <w:shd w:val="clear" w:color="auto" w:fill="FFFFFF"/>
                <w:lang w:eastAsia="lt-LT"/>
              </w:rPr>
            </w:pPr>
            <w:r>
              <w:rPr>
                <w:rFonts w:eastAsia="Times New Roman"/>
                <w:shd w:val="clear" w:color="auto" w:fill="FFFFFF"/>
                <w:lang w:eastAsia="lt-LT"/>
              </w:rPr>
              <w:t xml:space="preserve">2. </w:t>
            </w:r>
            <w:r>
              <w:t xml:space="preserve"> Reng</w:t>
            </w:r>
            <w:r w:rsidRPr="005E43C1">
              <w:t>i</w:t>
            </w:r>
            <w:r>
              <w:t>ant ir patvirtinant</w:t>
            </w:r>
            <w:r w:rsidRPr="005E43C1">
              <w:t xml:space="preserve"> teritorinių skyrių veiklos kontrolės gairių aprašą, </w:t>
            </w:r>
            <w:r w:rsidRPr="005E43C1">
              <w:rPr>
                <w:iCs/>
              </w:rPr>
              <w:t xml:space="preserve"> </w:t>
            </w:r>
            <w:r>
              <w:rPr>
                <w:iCs/>
              </w:rPr>
              <w:t>jame</w:t>
            </w:r>
            <w:r w:rsidRPr="005E43C1">
              <w:rPr>
                <w:iCs/>
              </w:rPr>
              <w:t xml:space="preserve"> nustatyti, kad ne rečiau kaip kas ketvirtį būtų peržiūrimi teritorinių skyrių „</w:t>
            </w:r>
            <w:proofErr w:type="spellStart"/>
            <w:r w:rsidRPr="005E43C1">
              <w:rPr>
                <w:iCs/>
              </w:rPr>
              <w:t>Infostatyboje</w:t>
            </w:r>
            <w:proofErr w:type="spellEnd"/>
            <w:r w:rsidRPr="005E43C1">
              <w:rPr>
                <w:iCs/>
              </w:rPr>
              <w:t>“ atlikti automatiniai pritarimai statinių projektams ir jų teisėtumas</w:t>
            </w:r>
            <w:r>
              <w:rPr>
                <w:iCs/>
              </w:rPr>
              <w:t>.</w:t>
            </w:r>
            <w:r w:rsidRPr="005E43C1">
              <w:rPr>
                <w:iCs/>
              </w:rPr>
              <w:t xml:space="preserve"> Aprašas turėtų reglamentuoti ir </w:t>
            </w:r>
            <w:r>
              <w:rPr>
                <w:iCs/>
              </w:rPr>
              <w:t xml:space="preserve">nepagrįstų </w:t>
            </w:r>
            <w:r w:rsidRPr="005E43C1">
              <w:rPr>
                <w:iCs/>
              </w:rPr>
              <w:t>automatinių pritarimų priežasčių nustatymą bei šalinimą.</w:t>
            </w:r>
          </w:p>
        </w:tc>
        <w:tc>
          <w:tcPr>
            <w:tcW w:w="6230" w:type="dxa"/>
          </w:tcPr>
          <w:p w14:paraId="65DBD940" w14:textId="2B21E958" w:rsidR="00276CA4" w:rsidRPr="00E36C72" w:rsidRDefault="005D4684" w:rsidP="00784BDF">
            <w:pPr>
              <w:widowControl w:val="0"/>
              <w:spacing w:line="240" w:lineRule="auto"/>
              <w:ind w:firstLine="0"/>
            </w:pPr>
            <w:r>
              <w:t>Kultūros ministerija</w:t>
            </w:r>
            <w:r w:rsidRPr="00E36C72">
              <w:t xml:space="preserve"> </w:t>
            </w:r>
            <w:r>
              <w:t xml:space="preserve">informavo, </w:t>
            </w:r>
            <w:r w:rsidRPr="00E36C72">
              <w:t>kad</w:t>
            </w:r>
            <w:r w:rsidR="00784BDF">
              <w:rPr>
                <w:b/>
              </w:rPr>
              <w:t xml:space="preserve"> </w:t>
            </w:r>
            <w:r w:rsidR="00784BDF" w:rsidRPr="00784BDF">
              <w:t>KPD parengs ir patvirtins Teritorinių skyrių veiklos kontrolės ga</w:t>
            </w:r>
            <w:r w:rsidR="00784BDF">
              <w:t>irių aprašą. Rengiant šį aprašą bus atsižvelgta į d</w:t>
            </w:r>
            <w:r w:rsidR="00784BDF" w:rsidRPr="00784BDF">
              <w:t xml:space="preserve">epartamento kontrolės funkcijų pertvarkymą, metodinio vadovavimo stiprinimą. Šiame apraše bus nustatyta </w:t>
            </w:r>
            <w:r w:rsidR="00784BDF">
              <w:t>KPD</w:t>
            </w:r>
            <w:r w:rsidR="00784BDF" w:rsidRPr="00784BDF">
              <w:t xml:space="preserve"> teritorinių skyrių pareiga informuoti Kontrolės padalinį  apie gautus derinti statinių ir tvarkybos projektus nacionalinio reikšmingumo lygmens kultūros paveldo objektuose, taip pat Kontrolės padalinio pareigą tirti </w:t>
            </w:r>
            <w:r w:rsidR="00784BDF">
              <w:t>KPD</w:t>
            </w:r>
            <w:r w:rsidR="00784BDF" w:rsidRPr="00784BDF">
              <w:t xml:space="preserve"> teritorinių skyrių atlikto automatinio pritarimo statinių projektams „</w:t>
            </w:r>
            <w:proofErr w:type="spellStart"/>
            <w:r w:rsidR="00784BDF" w:rsidRPr="00784BDF">
              <w:t>Infostatyboje</w:t>
            </w:r>
            <w:proofErr w:type="spellEnd"/>
            <w:r w:rsidR="00784BDF" w:rsidRPr="00784BDF">
              <w:t xml:space="preserve">“ atvejus (III-IV </w:t>
            </w:r>
            <w:proofErr w:type="spellStart"/>
            <w:r w:rsidR="00784BDF" w:rsidRPr="00784BDF">
              <w:t>ketv</w:t>
            </w:r>
            <w:proofErr w:type="spellEnd"/>
            <w:r w:rsidR="00784BDF" w:rsidRPr="00784BDF">
              <w:t>.)</w:t>
            </w:r>
          </w:p>
        </w:tc>
        <w:tc>
          <w:tcPr>
            <w:tcW w:w="3908" w:type="dxa"/>
          </w:tcPr>
          <w:p w14:paraId="5CBD1F8D" w14:textId="77777777" w:rsidR="007E6115" w:rsidRPr="00DD743E" w:rsidRDefault="007E6115" w:rsidP="007E6115">
            <w:pPr>
              <w:spacing w:line="240" w:lineRule="auto"/>
              <w:ind w:firstLine="0"/>
              <w:rPr>
                <w:b/>
                <w:color w:val="2E74B5" w:themeColor="accent1" w:themeShade="BF"/>
              </w:rPr>
            </w:pPr>
            <w:r w:rsidRPr="00DD743E">
              <w:rPr>
                <w:b/>
                <w:color w:val="2E74B5" w:themeColor="accent1" w:themeShade="BF"/>
              </w:rPr>
              <w:t>Atsižvelgta.</w:t>
            </w:r>
          </w:p>
          <w:p w14:paraId="5F1BB94B" w14:textId="77777777" w:rsidR="009F503E" w:rsidRPr="009F503E" w:rsidRDefault="009F503E" w:rsidP="009F503E">
            <w:pPr>
              <w:spacing w:line="240" w:lineRule="auto"/>
              <w:ind w:firstLine="0"/>
              <w:rPr>
                <w:b/>
                <w:i/>
              </w:rPr>
            </w:pPr>
            <w:r>
              <w:rPr>
                <w:b/>
              </w:rPr>
              <w:t xml:space="preserve">Pasiūlymą planuojama įgyvendinti š. m. </w:t>
            </w:r>
            <w:r w:rsidRPr="009F503E">
              <w:rPr>
                <w:b/>
              </w:rPr>
              <w:t>III-IV ketvirtį.</w:t>
            </w:r>
          </w:p>
          <w:p w14:paraId="3E2A602A" w14:textId="77777777" w:rsidR="00276CA4" w:rsidRPr="00415253" w:rsidRDefault="00276CA4" w:rsidP="00682C7A">
            <w:pPr>
              <w:spacing w:line="240" w:lineRule="auto"/>
              <w:ind w:firstLine="0"/>
              <w:rPr>
                <w:b/>
                <w:color w:val="FF0000"/>
              </w:rPr>
            </w:pPr>
          </w:p>
        </w:tc>
      </w:tr>
      <w:tr w:rsidR="00276CA4" w:rsidRPr="00011272" w14:paraId="65248704" w14:textId="77777777" w:rsidTr="009F503E">
        <w:tc>
          <w:tcPr>
            <w:tcW w:w="576" w:type="dxa"/>
          </w:tcPr>
          <w:p w14:paraId="2A12E2A9" w14:textId="16DB8F0C" w:rsidR="00276CA4" w:rsidRDefault="00017127" w:rsidP="00522585">
            <w:pPr>
              <w:spacing w:line="400" w:lineRule="exact"/>
              <w:ind w:left="-897" w:right="-147" w:firstLine="851"/>
            </w:pPr>
            <w:r>
              <w:lastRenderedPageBreak/>
              <w:t>1.6.</w:t>
            </w:r>
          </w:p>
        </w:tc>
        <w:tc>
          <w:tcPr>
            <w:tcW w:w="4401" w:type="dxa"/>
          </w:tcPr>
          <w:p w14:paraId="318E382D" w14:textId="14CE9EBB" w:rsidR="00276CA4" w:rsidRPr="0043634B" w:rsidRDefault="00501F45" w:rsidP="00522585">
            <w:pPr>
              <w:pStyle w:val="Pagrindiniotekstotrauka"/>
              <w:ind w:left="0"/>
              <w:jc w:val="both"/>
              <w:rPr>
                <w:rFonts w:ascii="Times New Roman" w:hAnsi="Times New Roman"/>
                <w:i/>
                <w:sz w:val="24"/>
                <w:szCs w:val="24"/>
                <w:lang w:val="lt-LT"/>
              </w:rPr>
            </w:pPr>
            <w:r w:rsidRPr="0043634B">
              <w:rPr>
                <w:rFonts w:ascii="Times New Roman" w:eastAsia="Calibri" w:hAnsi="Times New Roman"/>
                <w:iCs/>
                <w:sz w:val="24"/>
                <w:szCs w:val="24"/>
                <w:lang w:val="lt-LT"/>
              </w:rPr>
              <w:t>Organizuoti metodinę pagalbą teritoriniams skyriams, taikant įvairias priemones.</w:t>
            </w:r>
          </w:p>
        </w:tc>
        <w:tc>
          <w:tcPr>
            <w:tcW w:w="6230" w:type="dxa"/>
          </w:tcPr>
          <w:p w14:paraId="380DD477" w14:textId="4B53820B" w:rsidR="00276CA4" w:rsidRPr="00E36C72" w:rsidRDefault="00784BDF" w:rsidP="00E36C72">
            <w:pPr>
              <w:widowControl w:val="0"/>
              <w:spacing w:line="240" w:lineRule="auto"/>
              <w:ind w:firstLine="0"/>
            </w:pPr>
            <w:r>
              <w:t xml:space="preserve">Kultūros ministerija informavo, kad </w:t>
            </w:r>
            <w:r w:rsidRPr="00B71DB1">
              <w:t xml:space="preserve">metodinio vadovavimo stiprinimas </w:t>
            </w:r>
            <w:r w:rsidRPr="00B71DB1">
              <w:rPr>
                <w:iCs/>
              </w:rPr>
              <w:t>numa</w:t>
            </w:r>
            <w:r w:rsidR="004A7A64">
              <w:rPr>
                <w:iCs/>
              </w:rPr>
              <w:t xml:space="preserve">tytas Departamento direktoriaus </w:t>
            </w:r>
            <w:r w:rsidRPr="00B71DB1">
              <w:rPr>
                <w:iCs/>
              </w:rPr>
              <w:t>2020 m. metini</w:t>
            </w:r>
            <w:r>
              <w:rPr>
                <w:iCs/>
              </w:rPr>
              <w:t>ų</w:t>
            </w:r>
            <w:r w:rsidRPr="00B71DB1">
              <w:rPr>
                <w:iCs/>
              </w:rPr>
              <w:t xml:space="preserve"> uždavini</w:t>
            </w:r>
            <w:r>
              <w:rPr>
                <w:iCs/>
              </w:rPr>
              <w:t>ų</w:t>
            </w:r>
            <w:r w:rsidRPr="00B71DB1">
              <w:rPr>
                <w:iCs/>
              </w:rPr>
              <w:t xml:space="preserve"> plane</w:t>
            </w:r>
            <w:r>
              <w:rPr>
                <w:iCs/>
              </w:rPr>
              <w:t xml:space="preserve"> ir </w:t>
            </w:r>
            <w:r w:rsidRPr="00B71DB1">
              <w:t>Departamento struktūros pertvarkos projekt</w:t>
            </w:r>
            <w:r>
              <w:t>e numatant stiprinti metodinio vadovavimo funkcijas</w:t>
            </w:r>
            <w:r w:rsidRPr="00B71DB1">
              <w:rPr>
                <w:iCs/>
              </w:rPr>
              <w:t>.</w:t>
            </w:r>
          </w:p>
        </w:tc>
        <w:tc>
          <w:tcPr>
            <w:tcW w:w="3908" w:type="dxa"/>
          </w:tcPr>
          <w:p w14:paraId="74DB0FEA" w14:textId="12FE80C4" w:rsidR="007E6115" w:rsidRPr="00DD743E" w:rsidRDefault="00BD0CA5" w:rsidP="007E6115">
            <w:pPr>
              <w:spacing w:line="240" w:lineRule="auto"/>
              <w:ind w:firstLine="0"/>
              <w:rPr>
                <w:b/>
                <w:color w:val="2E74B5" w:themeColor="accent1" w:themeShade="BF"/>
              </w:rPr>
            </w:pPr>
            <w:r w:rsidRPr="00BD0CA5">
              <w:rPr>
                <w:b/>
                <w:iCs/>
              </w:rPr>
              <w:t xml:space="preserve"> </w:t>
            </w:r>
            <w:r w:rsidR="007E6115" w:rsidRPr="00DD743E">
              <w:rPr>
                <w:b/>
                <w:color w:val="2E74B5" w:themeColor="accent1" w:themeShade="BF"/>
              </w:rPr>
              <w:t xml:space="preserve"> Atsižvelgta.</w:t>
            </w:r>
          </w:p>
          <w:p w14:paraId="059CA2F7" w14:textId="045F5EA7" w:rsidR="00BD0CA5" w:rsidRPr="00BD0CA5" w:rsidRDefault="00BD0CA5" w:rsidP="004A7A64">
            <w:pPr>
              <w:spacing w:line="240" w:lineRule="auto"/>
              <w:ind w:firstLine="0"/>
              <w:contextualSpacing/>
              <w:rPr>
                <w:b/>
                <w:iCs/>
              </w:rPr>
            </w:pPr>
            <w:r w:rsidRPr="00BD0CA5">
              <w:rPr>
                <w:b/>
                <w:iCs/>
              </w:rPr>
              <w:t>Pasiūlymą planuojama įgyvendinti</w:t>
            </w:r>
            <w:r>
              <w:rPr>
                <w:b/>
                <w:iCs/>
              </w:rPr>
              <w:t>.</w:t>
            </w:r>
          </w:p>
        </w:tc>
      </w:tr>
      <w:tr w:rsidR="00784BDF" w:rsidRPr="00011272" w14:paraId="6636B78A" w14:textId="77777777" w:rsidTr="009F503E">
        <w:tc>
          <w:tcPr>
            <w:tcW w:w="15115" w:type="dxa"/>
            <w:gridSpan w:val="4"/>
          </w:tcPr>
          <w:p w14:paraId="6F45DCDB" w14:textId="53BBBBEA" w:rsidR="00784BDF" w:rsidRPr="00415253" w:rsidRDefault="00784BDF" w:rsidP="00682C7A">
            <w:pPr>
              <w:spacing w:line="240" w:lineRule="auto"/>
              <w:ind w:firstLine="0"/>
              <w:rPr>
                <w:b/>
                <w:color w:val="FF0000"/>
              </w:rPr>
            </w:pPr>
            <w:r>
              <w:rPr>
                <w:i/>
              </w:rPr>
              <w:t xml:space="preserve">2. </w:t>
            </w:r>
            <w:r w:rsidRPr="00F478F2">
              <w:rPr>
                <w:i/>
              </w:rPr>
              <w:t xml:space="preserve">Pasiūlymai </w:t>
            </w:r>
            <w:r w:rsidRPr="00784BDF">
              <w:rPr>
                <w:b/>
                <w:i/>
              </w:rPr>
              <w:t>Kultūros ministerijai kartu su KPD</w:t>
            </w:r>
            <w:r>
              <w:rPr>
                <w:i/>
              </w:rPr>
              <w:t xml:space="preserve"> dėl korupcijos rizikos</w:t>
            </w:r>
            <w:r>
              <w:rPr>
                <w:i/>
                <w:color w:val="000000" w:themeColor="text1"/>
              </w:rPr>
              <w:t xml:space="preserve"> KPD ginant viešąjį interesą ir nustatant jo pažeidimus nekilnojamojo kultūros paveldo apsaugos srityje</w:t>
            </w:r>
            <w:r>
              <w:rPr>
                <w:i/>
              </w:rPr>
              <w:t xml:space="preserve"> mažinimo:</w:t>
            </w:r>
          </w:p>
        </w:tc>
      </w:tr>
      <w:tr w:rsidR="00276CA4" w:rsidRPr="00011272" w14:paraId="2C7312E7" w14:textId="77777777" w:rsidTr="009F503E">
        <w:tc>
          <w:tcPr>
            <w:tcW w:w="576" w:type="dxa"/>
          </w:tcPr>
          <w:p w14:paraId="0B8BC3CC" w14:textId="783EE8A8" w:rsidR="00276CA4" w:rsidRDefault="0043634B" w:rsidP="00522585">
            <w:pPr>
              <w:spacing w:line="400" w:lineRule="exact"/>
              <w:ind w:left="-897" w:right="-147" w:firstLine="851"/>
            </w:pPr>
            <w:r>
              <w:t>2.1.</w:t>
            </w:r>
          </w:p>
        </w:tc>
        <w:tc>
          <w:tcPr>
            <w:tcW w:w="4401" w:type="dxa"/>
          </w:tcPr>
          <w:p w14:paraId="3BC09092" w14:textId="77777777" w:rsidR="00784BDF" w:rsidRPr="00784BDF" w:rsidRDefault="00784BDF" w:rsidP="00784BDF">
            <w:pPr>
              <w:spacing w:line="240" w:lineRule="auto"/>
              <w:ind w:firstLine="0"/>
              <w:contextualSpacing/>
              <w:rPr>
                <w:rFonts w:eastAsiaTheme="minorHAnsi"/>
                <w:iCs/>
              </w:rPr>
            </w:pPr>
            <w:r w:rsidRPr="00784BDF">
              <w:rPr>
                <w:rFonts w:eastAsiaTheme="minorHAnsi"/>
                <w:iCs/>
              </w:rPr>
              <w:t>Iš esmės peržiūrėti kultūros paveldo tyrimų teisinį reglamentavimą, numatyti esamos problematikos sprendimus, parengti, patvirtinti ar tobulinti esamą teisinį reguliavimą ir nustatyti:</w:t>
            </w:r>
          </w:p>
          <w:p w14:paraId="65771837" w14:textId="77777777" w:rsidR="00784BDF" w:rsidRPr="00784BDF" w:rsidRDefault="00784BDF" w:rsidP="00784BDF">
            <w:pPr>
              <w:spacing w:line="240" w:lineRule="auto"/>
              <w:ind w:firstLine="0"/>
              <w:contextualSpacing/>
              <w:rPr>
                <w:rFonts w:eastAsiaTheme="minorHAnsi"/>
                <w:iCs/>
              </w:rPr>
            </w:pPr>
            <w:r w:rsidRPr="00784BDF">
              <w:rPr>
                <w:rFonts w:eastAsiaTheme="minorHAnsi"/>
                <w:iCs/>
              </w:rPr>
              <w:t>1.1. kad kultūros paveldo tyrimai atliekami prieš pradedant rengti su paveldo objektais susijusius projektus ir yra nepriklausomi nuo nekilnojamojo kultūros paveldo objektų valdytojų ar investuotojų;</w:t>
            </w:r>
          </w:p>
          <w:p w14:paraId="24E8D464" w14:textId="77777777" w:rsidR="00784BDF" w:rsidRPr="00784BDF" w:rsidRDefault="00784BDF" w:rsidP="00784BDF">
            <w:pPr>
              <w:spacing w:line="240" w:lineRule="auto"/>
              <w:ind w:firstLine="0"/>
              <w:contextualSpacing/>
              <w:rPr>
                <w:rFonts w:eastAsiaTheme="minorHAnsi"/>
                <w:iCs/>
              </w:rPr>
            </w:pPr>
            <w:r w:rsidRPr="00784BDF">
              <w:rPr>
                <w:rFonts w:eastAsiaTheme="minorHAnsi"/>
                <w:iCs/>
              </w:rPr>
              <w:t xml:space="preserve">1.2. aiškiai apibrėžtus atvejus, kada privalomas tyrimų rezultatų recenzavimas, atsižvelgiant į tokio recenzavimo pridėtinę vertę paveldo objektų apsaugos požiūriu ir papildomą administracinę naštą bei išlaidas </w:t>
            </w:r>
            <w:proofErr w:type="spellStart"/>
            <w:r w:rsidRPr="00784BDF">
              <w:rPr>
                <w:rFonts w:eastAsiaTheme="minorHAnsi"/>
                <w:iCs/>
              </w:rPr>
              <w:t>vystytojui</w:t>
            </w:r>
            <w:proofErr w:type="spellEnd"/>
            <w:r w:rsidRPr="00784BDF">
              <w:rPr>
                <w:rFonts w:eastAsiaTheme="minorHAnsi"/>
                <w:iCs/>
              </w:rPr>
              <w:t xml:space="preserve"> ar statytojui;</w:t>
            </w:r>
          </w:p>
          <w:p w14:paraId="1328D513" w14:textId="77777777" w:rsidR="00784BDF" w:rsidRPr="00784BDF" w:rsidRDefault="00784BDF" w:rsidP="00784BDF">
            <w:pPr>
              <w:spacing w:line="240" w:lineRule="auto"/>
              <w:ind w:firstLine="0"/>
              <w:contextualSpacing/>
              <w:rPr>
                <w:rFonts w:eastAsiaTheme="minorHAnsi"/>
                <w:iCs/>
              </w:rPr>
            </w:pPr>
            <w:r w:rsidRPr="00784BDF">
              <w:rPr>
                <w:rFonts w:eastAsiaTheme="minorHAnsi"/>
                <w:iCs/>
              </w:rPr>
              <w:t>1.3. recenzavimo skaidrumą ir nešališkumą – tyrimų ataskaitų recenzentus (ekspertus) skiria tarpininkaujanti valstybės institucija, o ne suinteresuotoji šalis, recenzavimo proceso metu neatskleidžiamas recenzuojantis asmuo;</w:t>
            </w:r>
          </w:p>
          <w:p w14:paraId="2082FE17" w14:textId="77777777" w:rsidR="00784BDF" w:rsidRPr="00784BDF" w:rsidRDefault="00784BDF" w:rsidP="00784BDF">
            <w:pPr>
              <w:spacing w:line="240" w:lineRule="auto"/>
              <w:ind w:firstLine="0"/>
              <w:contextualSpacing/>
              <w:rPr>
                <w:rFonts w:eastAsiaTheme="minorHAnsi"/>
                <w:iCs/>
              </w:rPr>
            </w:pPr>
            <w:r w:rsidRPr="00784BDF">
              <w:rPr>
                <w:rFonts w:eastAsiaTheme="minorHAnsi"/>
                <w:iCs/>
              </w:rPr>
              <w:t xml:space="preserve">1.4. aiškiai apibrėžtus atvejus, kada taikoma prievolė atlikti paveldo objekto archeologinius, istorinius, menotyrinius ir technologinius tyrimus, atsižvelgiant į tokių tyrimų pridėtinę vertę paveldo objektų apsaugos požiūriu ir papildomą </w:t>
            </w:r>
            <w:r w:rsidRPr="00784BDF">
              <w:rPr>
                <w:rFonts w:eastAsiaTheme="minorHAnsi"/>
                <w:iCs/>
              </w:rPr>
              <w:lastRenderedPageBreak/>
              <w:t xml:space="preserve">administracinę naštą bei išlaidas </w:t>
            </w:r>
            <w:proofErr w:type="spellStart"/>
            <w:r w:rsidRPr="00784BDF">
              <w:rPr>
                <w:rFonts w:eastAsiaTheme="minorHAnsi"/>
                <w:iCs/>
              </w:rPr>
              <w:t>vystytojui</w:t>
            </w:r>
            <w:proofErr w:type="spellEnd"/>
            <w:r w:rsidRPr="00784BDF">
              <w:rPr>
                <w:rFonts w:eastAsiaTheme="minorHAnsi"/>
                <w:iCs/>
              </w:rPr>
              <w:t xml:space="preserve"> ar statytojui; </w:t>
            </w:r>
          </w:p>
          <w:p w14:paraId="5C5A7712" w14:textId="77777777" w:rsidR="00784BDF" w:rsidRPr="00784BDF" w:rsidRDefault="00784BDF" w:rsidP="00784BDF">
            <w:pPr>
              <w:spacing w:line="240" w:lineRule="auto"/>
              <w:ind w:firstLine="0"/>
              <w:contextualSpacing/>
              <w:rPr>
                <w:rFonts w:eastAsiaTheme="minorHAnsi"/>
                <w:iCs/>
              </w:rPr>
            </w:pPr>
            <w:r w:rsidRPr="00784BDF">
              <w:rPr>
                <w:rFonts w:eastAsiaTheme="minorHAnsi"/>
                <w:iCs/>
              </w:rPr>
              <w:t>1.5. mokslinių tyrimų ataskaitų teikimo, jų apskundimo ir ginčijamo mechanizmą bei jų viešinimo tvarką.</w:t>
            </w:r>
          </w:p>
          <w:p w14:paraId="0BE3316B" w14:textId="26E73BF2" w:rsidR="00017127" w:rsidRPr="00784BDF" w:rsidRDefault="00784BDF" w:rsidP="00784BDF">
            <w:pPr>
              <w:spacing w:line="240" w:lineRule="auto"/>
              <w:ind w:firstLine="0"/>
              <w:rPr>
                <w:rFonts w:eastAsiaTheme="minorHAnsi"/>
                <w:b/>
                <w:iCs/>
              </w:rPr>
            </w:pPr>
            <w:r w:rsidRPr="00784BDF">
              <w:rPr>
                <w:rFonts w:eastAsiaTheme="minorHAnsi"/>
                <w:b/>
                <w:iCs/>
              </w:rPr>
              <w:t>Arba numatyti kitus alternatyvius sprendimus išvardintoms problemoms spręsti.</w:t>
            </w:r>
          </w:p>
        </w:tc>
        <w:tc>
          <w:tcPr>
            <w:tcW w:w="6230" w:type="dxa"/>
          </w:tcPr>
          <w:p w14:paraId="263049FD" w14:textId="3F7C2F6D" w:rsidR="000F1523" w:rsidRPr="000F1523" w:rsidRDefault="000F1523" w:rsidP="000F1523">
            <w:pPr>
              <w:spacing w:line="240" w:lineRule="auto"/>
              <w:ind w:firstLine="0"/>
              <w:contextualSpacing/>
              <w:rPr>
                <w:rFonts w:eastAsiaTheme="minorHAnsi"/>
                <w:lang w:eastAsia="lt-LT"/>
              </w:rPr>
            </w:pPr>
            <w:r>
              <w:rPr>
                <w:rFonts w:eastAsiaTheme="minorHAnsi"/>
                <w:lang w:eastAsia="lt-LT"/>
              </w:rPr>
              <w:lastRenderedPageBreak/>
              <w:t xml:space="preserve">Kultūros ministerija informavo, kad </w:t>
            </w:r>
            <w:r w:rsidRPr="000F1523">
              <w:rPr>
                <w:rFonts w:eastAsiaTheme="minorHAnsi"/>
                <w:lang w:eastAsia="lt-LT"/>
              </w:rPr>
              <w:t>į STT pastabas ir pasiūlymus dėl tyrimų kultūros paveldo srityje atlikimo</w:t>
            </w:r>
            <w:r>
              <w:rPr>
                <w:rFonts w:eastAsiaTheme="minorHAnsi"/>
                <w:lang w:eastAsia="lt-LT"/>
              </w:rPr>
              <w:t xml:space="preserve">  </w:t>
            </w:r>
            <w:r w:rsidRPr="000F1523">
              <w:rPr>
                <w:rFonts w:eastAsiaTheme="minorHAnsi"/>
                <w:lang w:eastAsia="lt-LT"/>
              </w:rPr>
              <w:t>numatyta</w:t>
            </w:r>
            <w:r>
              <w:rPr>
                <w:rFonts w:eastAsiaTheme="minorHAnsi"/>
                <w:lang w:eastAsia="lt-LT"/>
              </w:rPr>
              <w:t xml:space="preserve"> atsižvelgti iš dalies </w:t>
            </w:r>
            <w:r w:rsidRPr="000F1523">
              <w:rPr>
                <w:rFonts w:eastAsiaTheme="minorHAnsi"/>
                <w:lang w:eastAsia="lt-LT"/>
              </w:rPr>
              <w:t xml:space="preserve">rengiant bendrą Tyrimų PTR projektą. Klausimą dėl tyrimų nepriklausomumo užtikrinimo teikti svarstyti Nekilnojamojo kultūros paveldo apsaugos ekspertų komisijai. Atsižvelgiant į šios komisijos pateiktus siūlymus rengti reikalingus teisės aktų pakeitimus. </w:t>
            </w:r>
          </w:p>
          <w:p w14:paraId="25EB9437" w14:textId="2593441B" w:rsidR="00276CA4" w:rsidRPr="00E36C72" w:rsidRDefault="000F1523" w:rsidP="000F1523">
            <w:pPr>
              <w:widowControl w:val="0"/>
              <w:spacing w:line="240" w:lineRule="auto"/>
              <w:ind w:firstLine="0"/>
            </w:pPr>
            <w:r w:rsidRPr="000F1523">
              <w:rPr>
                <w:rFonts w:eastAsiaTheme="minorHAnsi"/>
                <w:lang w:eastAsia="lt-LT"/>
              </w:rPr>
              <w:t>Šiuo metu nėra galimybės atsižvelgti į STT pasiūlymus dėl tyrėjų nepriklausomumo ir tyrimų recenzavimo, nes pagal dabar veikiančią institucinę sąrangą būtų sukurtos dar palankesnės sąlygos korupcijai. Tačiau keičiant institucinę sąrangą, į šią pastabą bus ieškoma galimybių atsižvelgti.</w:t>
            </w:r>
          </w:p>
        </w:tc>
        <w:tc>
          <w:tcPr>
            <w:tcW w:w="3908" w:type="dxa"/>
          </w:tcPr>
          <w:p w14:paraId="117D7F7D" w14:textId="7FC94F92" w:rsidR="007E6115" w:rsidRPr="00DD743E" w:rsidRDefault="007E6115" w:rsidP="007E6115">
            <w:pPr>
              <w:spacing w:line="240" w:lineRule="auto"/>
              <w:ind w:firstLine="0"/>
              <w:rPr>
                <w:b/>
                <w:color w:val="2E74B5" w:themeColor="accent1" w:themeShade="BF"/>
              </w:rPr>
            </w:pPr>
            <w:r w:rsidRPr="00DD743E">
              <w:rPr>
                <w:b/>
                <w:color w:val="2E74B5" w:themeColor="accent1" w:themeShade="BF"/>
              </w:rPr>
              <w:t>Atsižvelgta</w:t>
            </w:r>
            <w:r>
              <w:rPr>
                <w:b/>
                <w:color w:val="2E74B5" w:themeColor="accent1" w:themeShade="BF"/>
              </w:rPr>
              <w:t xml:space="preserve"> iš dalies</w:t>
            </w:r>
            <w:r w:rsidRPr="00DD743E">
              <w:rPr>
                <w:b/>
                <w:color w:val="2E74B5" w:themeColor="accent1" w:themeShade="BF"/>
              </w:rPr>
              <w:t>.</w:t>
            </w:r>
          </w:p>
          <w:p w14:paraId="59A1BA40" w14:textId="0893152C" w:rsidR="00276CA4" w:rsidRPr="009F503E" w:rsidRDefault="00BD0CA5" w:rsidP="00682C7A">
            <w:pPr>
              <w:spacing w:line="240" w:lineRule="auto"/>
              <w:ind w:firstLine="0"/>
              <w:rPr>
                <w:b/>
                <w:color w:val="FF0000"/>
              </w:rPr>
            </w:pPr>
            <w:r>
              <w:rPr>
                <w:b/>
              </w:rPr>
              <w:t>Pasiūlymus</w:t>
            </w:r>
            <w:r w:rsidR="009F503E" w:rsidRPr="009F503E">
              <w:rPr>
                <w:b/>
              </w:rPr>
              <w:t xml:space="preserve"> planuojama įg</w:t>
            </w:r>
            <w:r w:rsidR="00EB5468">
              <w:rPr>
                <w:b/>
              </w:rPr>
              <w:t xml:space="preserve">yvendinti iš dalies, </w:t>
            </w:r>
            <w:r w:rsidR="00EB5468" w:rsidRPr="00BD0CA5">
              <w:t xml:space="preserve">nes kol kas nėra sprendžiamas klausimas dėl </w:t>
            </w:r>
            <w:r w:rsidR="00EB5468" w:rsidRPr="00BD0CA5">
              <w:rPr>
                <w:rFonts w:eastAsiaTheme="minorHAnsi"/>
                <w:lang w:eastAsia="lt-LT"/>
              </w:rPr>
              <w:t xml:space="preserve"> tyrėjų nepriklausomumo ir tyrimų recenzavimo.</w:t>
            </w:r>
          </w:p>
        </w:tc>
      </w:tr>
      <w:tr w:rsidR="00AB26DC" w:rsidRPr="00011272" w14:paraId="56B7B038" w14:textId="77777777" w:rsidTr="009F503E">
        <w:trPr>
          <w:trHeight w:val="382"/>
        </w:trPr>
        <w:tc>
          <w:tcPr>
            <w:tcW w:w="15115" w:type="dxa"/>
            <w:gridSpan w:val="4"/>
          </w:tcPr>
          <w:p w14:paraId="5B6898B8" w14:textId="01F48BB6" w:rsidR="00AB26DC" w:rsidRPr="00AB26DC" w:rsidRDefault="000F1523" w:rsidP="00E270A9">
            <w:pPr>
              <w:spacing w:after="160" w:line="240" w:lineRule="auto"/>
              <w:ind w:firstLine="0"/>
              <w:contextualSpacing/>
              <w:rPr>
                <w:rFonts w:eastAsiaTheme="minorHAnsi"/>
                <w:i/>
                <w:shd w:val="clear" w:color="auto" w:fill="FFFFFF"/>
              </w:rPr>
            </w:pPr>
            <w:r>
              <w:rPr>
                <w:i/>
              </w:rPr>
              <w:lastRenderedPageBreak/>
              <w:t xml:space="preserve">3. </w:t>
            </w:r>
            <w:r w:rsidRPr="00F478F2">
              <w:rPr>
                <w:i/>
              </w:rPr>
              <w:t xml:space="preserve">Pasiūlymai </w:t>
            </w:r>
            <w:r w:rsidRPr="00784BDF">
              <w:rPr>
                <w:b/>
                <w:i/>
              </w:rPr>
              <w:t>Kultūros ministerijai</w:t>
            </w:r>
            <w:r>
              <w:rPr>
                <w:b/>
                <w:i/>
              </w:rPr>
              <w:t xml:space="preserve"> </w:t>
            </w:r>
            <w:r>
              <w:rPr>
                <w:i/>
              </w:rPr>
              <w:t>dėl korupcijos rizikos</w:t>
            </w:r>
            <w:r>
              <w:rPr>
                <w:i/>
                <w:color w:val="000000" w:themeColor="text1"/>
              </w:rPr>
              <w:t xml:space="preserve"> KPD ginant viešąjį interesą ir nustatant jo pažeidimus nekilnojamojo kultūros paveldo apsaugos srityje</w:t>
            </w:r>
            <w:r>
              <w:rPr>
                <w:i/>
              </w:rPr>
              <w:t xml:space="preserve"> mažinimo</w:t>
            </w:r>
            <w:r w:rsidR="00333488">
              <w:rPr>
                <w:rFonts w:eastAsia="Times New Roman"/>
                <w:i/>
                <w:lang w:eastAsia="lt-LT"/>
              </w:rPr>
              <w:t>:</w:t>
            </w:r>
          </w:p>
        </w:tc>
      </w:tr>
      <w:tr w:rsidR="002265A2" w:rsidRPr="00011272" w14:paraId="5FB69D7D" w14:textId="77777777" w:rsidTr="009F503E">
        <w:trPr>
          <w:trHeight w:val="841"/>
        </w:trPr>
        <w:tc>
          <w:tcPr>
            <w:tcW w:w="576" w:type="dxa"/>
          </w:tcPr>
          <w:p w14:paraId="2CCD6378" w14:textId="124073B9" w:rsidR="00801591" w:rsidRPr="00011272" w:rsidRDefault="0043634B" w:rsidP="00522585">
            <w:pPr>
              <w:spacing w:line="400" w:lineRule="exact"/>
              <w:ind w:left="-897" w:right="-147" w:firstLine="851"/>
            </w:pPr>
            <w:r>
              <w:t>3</w:t>
            </w:r>
            <w:r w:rsidR="00AB26DC">
              <w:t xml:space="preserve">.1. </w:t>
            </w:r>
          </w:p>
        </w:tc>
        <w:tc>
          <w:tcPr>
            <w:tcW w:w="4401" w:type="dxa"/>
          </w:tcPr>
          <w:p w14:paraId="5E6DC4F0" w14:textId="218A1D0E" w:rsidR="00801591" w:rsidRPr="00C91EAA" w:rsidRDefault="000F1523" w:rsidP="00694787">
            <w:pPr>
              <w:tabs>
                <w:tab w:val="left" w:pos="1134"/>
                <w:tab w:val="left" w:pos="1560"/>
              </w:tabs>
              <w:spacing w:line="240" w:lineRule="auto"/>
              <w:ind w:firstLine="0"/>
              <w:contextualSpacing/>
              <w:rPr>
                <w:rFonts w:eastAsia="Times New Roman"/>
                <w:lang w:eastAsia="lt-LT"/>
              </w:rPr>
            </w:pPr>
            <w:r>
              <w:rPr>
                <w:iCs/>
              </w:rPr>
              <w:t>S</w:t>
            </w:r>
            <w:r w:rsidRPr="00737F4F">
              <w:rPr>
                <w:iCs/>
              </w:rPr>
              <w:t>kubiai imtis priemonių ir nustatyti kontrolės ir tinkamo Kultūros paveldo departamento v</w:t>
            </w:r>
            <w:r>
              <w:rPr>
                <w:iCs/>
              </w:rPr>
              <w:t>eiklos koordinavimo mechanizmus.</w:t>
            </w:r>
          </w:p>
        </w:tc>
        <w:tc>
          <w:tcPr>
            <w:tcW w:w="6230" w:type="dxa"/>
          </w:tcPr>
          <w:p w14:paraId="34291CEE" w14:textId="6C4CF0D5" w:rsidR="002207F8" w:rsidRPr="00E36C72" w:rsidRDefault="000F1523" w:rsidP="000F1523">
            <w:pPr>
              <w:tabs>
                <w:tab w:val="left" w:pos="567"/>
              </w:tabs>
              <w:spacing w:line="240" w:lineRule="auto"/>
              <w:ind w:firstLine="0"/>
              <w:rPr>
                <w:rFonts w:eastAsia="Times New Roman"/>
                <w:lang w:eastAsia="lt-LT"/>
              </w:rPr>
            </w:pPr>
            <w:r>
              <w:rPr>
                <w:iCs/>
              </w:rPr>
              <w:t>Kultūros ministerija informavo, kad s</w:t>
            </w:r>
            <w:r w:rsidRPr="00B71DB1">
              <w:rPr>
                <w:iCs/>
              </w:rPr>
              <w:t xml:space="preserve">iekiant stiprinti vidaus kontrolė </w:t>
            </w:r>
            <w:r>
              <w:rPr>
                <w:iCs/>
              </w:rPr>
              <w:t>KPD</w:t>
            </w:r>
            <w:r w:rsidRPr="00B71DB1">
              <w:rPr>
                <w:iCs/>
              </w:rPr>
              <w:t xml:space="preserve"> ir jo teritoriniuose skyriuose</w:t>
            </w:r>
            <w:r>
              <w:rPr>
                <w:iCs/>
              </w:rPr>
              <w:t>, d</w:t>
            </w:r>
            <w:r w:rsidRPr="00B71DB1">
              <w:rPr>
                <w:iCs/>
              </w:rPr>
              <w:t xml:space="preserve">epartamentui pavesta parengti </w:t>
            </w:r>
            <w:r>
              <w:t>jo</w:t>
            </w:r>
            <w:r w:rsidRPr="00B71DB1">
              <w:t xml:space="preserve"> struktūros pertvarkos projektą</w:t>
            </w:r>
            <w:r>
              <w:t xml:space="preserve"> (</w:t>
            </w:r>
            <w:r>
              <w:rPr>
                <w:i/>
                <w:iCs/>
              </w:rPr>
              <w:t xml:space="preserve">I-II </w:t>
            </w:r>
            <w:proofErr w:type="spellStart"/>
            <w:r>
              <w:rPr>
                <w:i/>
                <w:iCs/>
              </w:rPr>
              <w:t>ketv</w:t>
            </w:r>
            <w:proofErr w:type="spellEnd"/>
            <w:r>
              <w:rPr>
                <w:i/>
                <w:iCs/>
              </w:rPr>
              <w:t>.</w:t>
            </w:r>
            <w:r>
              <w:t>)</w:t>
            </w:r>
            <w:r w:rsidRPr="00B71DB1">
              <w:t>.</w:t>
            </w:r>
          </w:p>
        </w:tc>
        <w:tc>
          <w:tcPr>
            <w:tcW w:w="3908" w:type="dxa"/>
          </w:tcPr>
          <w:p w14:paraId="533B717A" w14:textId="604EE287" w:rsidR="002913EC" w:rsidRDefault="002913EC" w:rsidP="006313C9">
            <w:pPr>
              <w:tabs>
                <w:tab w:val="left" w:pos="3405"/>
              </w:tabs>
              <w:spacing w:line="240" w:lineRule="auto"/>
              <w:ind w:firstLine="0"/>
              <w:rPr>
                <w:b/>
                <w:color w:val="FF0000"/>
              </w:rPr>
            </w:pPr>
            <w:r>
              <w:rPr>
                <w:b/>
                <w:color w:val="FF0000"/>
              </w:rPr>
              <w:t>Neatsižvelgta.</w:t>
            </w:r>
          </w:p>
          <w:p w14:paraId="2DF0E606" w14:textId="4D553879" w:rsidR="001A678B" w:rsidRDefault="009F503E" w:rsidP="006313C9">
            <w:pPr>
              <w:tabs>
                <w:tab w:val="left" w:pos="3405"/>
              </w:tabs>
              <w:spacing w:line="240" w:lineRule="auto"/>
              <w:ind w:firstLine="0"/>
              <w:rPr>
                <w:b/>
              </w:rPr>
            </w:pPr>
            <w:r>
              <w:rPr>
                <w:b/>
              </w:rPr>
              <w:t xml:space="preserve">Kultūros ministerija nepateikė duomenų apie tai </w:t>
            </w:r>
            <w:r w:rsidR="006313C9">
              <w:rPr>
                <w:b/>
              </w:rPr>
              <w:t>kokių veiksmų planuoja imtis pati ministerija, nustatydama</w:t>
            </w:r>
            <w:r>
              <w:rPr>
                <w:b/>
              </w:rPr>
              <w:t xml:space="preserve"> kontrolės ir tinkamo KPD, kaip savo pavaldžios institucijos</w:t>
            </w:r>
            <w:r w:rsidR="006313C9">
              <w:rPr>
                <w:b/>
              </w:rPr>
              <w:t>,</w:t>
            </w:r>
            <w:r>
              <w:rPr>
                <w:b/>
              </w:rPr>
              <w:t xml:space="preserve"> veiklos koordinavimo. </w:t>
            </w:r>
          </w:p>
          <w:p w14:paraId="51748BE6" w14:textId="0DB552D1" w:rsidR="00EB5468" w:rsidRPr="00C46D7F" w:rsidRDefault="00EB5468" w:rsidP="006313C9">
            <w:pPr>
              <w:tabs>
                <w:tab w:val="left" w:pos="3405"/>
              </w:tabs>
              <w:spacing w:line="240" w:lineRule="auto"/>
              <w:ind w:firstLine="0"/>
            </w:pPr>
            <w:r>
              <w:rPr>
                <w:b/>
              </w:rPr>
              <w:t xml:space="preserve">Kultūros ministerijos prašome pateikti savo planuojamus veiksmus, užtikrinančius tinkamus KPD kontrolės ir koordinavimo mechanizmus. </w:t>
            </w:r>
          </w:p>
        </w:tc>
      </w:tr>
      <w:tr w:rsidR="00694787" w:rsidRPr="00011272" w14:paraId="60134376" w14:textId="77777777" w:rsidTr="009F503E">
        <w:trPr>
          <w:trHeight w:val="557"/>
        </w:trPr>
        <w:tc>
          <w:tcPr>
            <w:tcW w:w="576" w:type="dxa"/>
          </w:tcPr>
          <w:p w14:paraId="4C4DE777" w14:textId="319B9883" w:rsidR="00694787" w:rsidRDefault="0043634B" w:rsidP="00522585">
            <w:pPr>
              <w:spacing w:line="400" w:lineRule="exact"/>
              <w:ind w:left="-897" w:right="-147" w:firstLine="851"/>
            </w:pPr>
            <w:r>
              <w:t>3</w:t>
            </w:r>
            <w:r w:rsidR="00694787">
              <w:t>.2.</w:t>
            </w:r>
          </w:p>
        </w:tc>
        <w:tc>
          <w:tcPr>
            <w:tcW w:w="4401" w:type="dxa"/>
          </w:tcPr>
          <w:p w14:paraId="524453AD" w14:textId="2A246646" w:rsidR="000F1523" w:rsidRPr="000F1523" w:rsidRDefault="000F1523" w:rsidP="000F1523">
            <w:pPr>
              <w:spacing w:after="160" w:line="240" w:lineRule="auto"/>
              <w:ind w:firstLine="0"/>
              <w:contextualSpacing/>
              <w:rPr>
                <w:rFonts w:eastAsiaTheme="minorHAnsi"/>
                <w:iCs/>
              </w:rPr>
            </w:pPr>
            <w:r>
              <w:rPr>
                <w:rFonts w:eastAsiaTheme="minorHAnsi"/>
                <w:iCs/>
              </w:rPr>
              <w:t>I</w:t>
            </w:r>
            <w:r w:rsidRPr="000F1523">
              <w:rPr>
                <w:rFonts w:eastAsiaTheme="minorHAnsi"/>
                <w:iCs/>
              </w:rPr>
              <w:t>nicijuoti reikiamus teisės aktų pakeitimus bei užbaigti jau pradėtos teisėkūros procesus:</w:t>
            </w:r>
          </w:p>
          <w:p w14:paraId="224AE825" w14:textId="0A98033D" w:rsidR="000F1523" w:rsidRPr="000F1523" w:rsidRDefault="001071B1" w:rsidP="000F1523">
            <w:pPr>
              <w:spacing w:after="160" w:line="240" w:lineRule="auto"/>
              <w:ind w:firstLine="0"/>
              <w:contextualSpacing/>
              <w:rPr>
                <w:rFonts w:eastAsiaTheme="minorHAnsi"/>
                <w:iCs/>
              </w:rPr>
            </w:pPr>
            <w:r>
              <w:rPr>
                <w:rFonts w:eastAsiaTheme="minorHAnsi"/>
                <w:iCs/>
              </w:rPr>
              <w:t xml:space="preserve">- </w:t>
            </w:r>
            <w:r w:rsidR="000F1523" w:rsidRPr="000F1523">
              <w:rPr>
                <w:rFonts w:eastAsiaTheme="minorHAnsi"/>
                <w:iCs/>
              </w:rPr>
              <w:t xml:space="preserve">Vilniaus senamiesčio nekilnojamojo kultūros paveldo apsaugos specialusis planas rengiamas nuo 2007 metų, bet iki šiol nėra parengtas ir patvirtintas (nors naujai rengiamame Vilniaus miesto bendrajame plane daroma nuoroda į šį dar neparengtą ir negaliojantį dokumentą); </w:t>
            </w:r>
          </w:p>
          <w:p w14:paraId="2EB8AB2F" w14:textId="77777777" w:rsidR="000F1523" w:rsidRPr="000F1523" w:rsidRDefault="000F1523" w:rsidP="000F1523">
            <w:pPr>
              <w:spacing w:after="160" w:line="240" w:lineRule="auto"/>
              <w:ind w:firstLine="0"/>
              <w:contextualSpacing/>
              <w:rPr>
                <w:rFonts w:eastAsiaTheme="minorHAnsi"/>
                <w:iCs/>
              </w:rPr>
            </w:pPr>
            <w:r w:rsidRPr="000F1523">
              <w:rPr>
                <w:rFonts w:eastAsiaTheme="minorHAnsi"/>
                <w:iCs/>
              </w:rPr>
              <w:t>- nėra baigtas rengti Nekilnojamųjų kultūros vertybių vertinimo, atrankos ir reikšmingumo lygmens nustatymo kriterijų aprašo, patvirtinto Lietuvos Respublikos kultūros ministro 2005-04-15 įsakymu Nr. ĮV-150 pakeitimo projektas, todėl siūloma jį parengti ir patvirtinti artimiausiu metu;</w:t>
            </w:r>
          </w:p>
          <w:p w14:paraId="7D8BF872" w14:textId="77777777" w:rsidR="000F1523" w:rsidRPr="000F1523" w:rsidRDefault="000F1523" w:rsidP="000F1523">
            <w:pPr>
              <w:spacing w:after="160" w:line="240" w:lineRule="auto"/>
              <w:ind w:firstLine="0"/>
              <w:contextualSpacing/>
              <w:rPr>
                <w:rFonts w:eastAsiaTheme="minorHAnsi"/>
                <w:iCs/>
              </w:rPr>
            </w:pPr>
            <w:r w:rsidRPr="000F1523">
              <w:rPr>
                <w:rFonts w:eastAsiaTheme="minorHAnsi"/>
                <w:iCs/>
              </w:rPr>
              <w:t>- nėra baigtos rengti Nekilnojamojo kultūros paveldo inventorizavimo taisyklės, kurias Kultūros paveldo departamentas parengė dar 2016 metais. Todėl siūloma jas parengti ir patvirtinti artimiausiu metu;</w:t>
            </w:r>
          </w:p>
          <w:p w14:paraId="7DC72D77" w14:textId="77777777" w:rsidR="000F1523" w:rsidRPr="000F1523" w:rsidRDefault="000F1523" w:rsidP="000F1523">
            <w:pPr>
              <w:spacing w:after="160" w:line="240" w:lineRule="auto"/>
              <w:ind w:firstLine="0"/>
              <w:contextualSpacing/>
              <w:rPr>
                <w:rFonts w:eastAsiaTheme="minorHAnsi"/>
                <w:iCs/>
              </w:rPr>
            </w:pPr>
            <w:r w:rsidRPr="000F1523">
              <w:rPr>
                <w:rFonts w:eastAsiaTheme="minorHAnsi"/>
                <w:iCs/>
              </w:rPr>
              <w:t>- siūlome svarstyti dėl Vilniaus senamies</w:t>
            </w:r>
            <w:r w:rsidRPr="000F1523">
              <w:rPr>
                <w:rFonts w:eastAsiaTheme="minorHAnsi" w:hint="eastAsia"/>
                <w:iCs/>
              </w:rPr>
              <w:t>č</w:t>
            </w:r>
            <w:r w:rsidRPr="000F1523">
              <w:rPr>
                <w:rFonts w:eastAsiaTheme="minorHAnsi"/>
                <w:iCs/>
              </w:rPr>
              <w:t>io regeneravimo projekto koncepcijos ir sklyp</w:t>
            </w:r>
            <w:r w:rsidRPr="000F1523">
              <w:rPr>
                <w:rFonts w:eastAsiaTheme="minorHAnsi" w:hint="eastAsia"/>
                <w:iCs/>
              </w:rPr>
              <w:t>ų</w:t>
            </w:r>
            <w:r w:rsidRPr="000F1523">
              <w:rPr>
                <w:rFonts w:eastAsiaTheme="minorHAnsi"/>
                <w:iCs/>
              </w:rPr>
              <w:t xml:space="preserve"> plano, kuris buvo patvirtintas 1996 metais aktualumo, atnaujinimo, koregavimo, jo koreliacijos su naujai rengiamo Vilniaus miesto bendrojo plano nuostatomis;</w:t>
            </w:r>
          </w:p>
          <w:p w14:paraId="5D281867" w14:textId="77777777" w:rsidR="000F1523" w:rsidRPr="000F1523" w:rsidRDefault="000F1523" w:rsidP="000F1523">
            <w:pPr>
              <w:spacing w:after="160" w:line="240" w:lineRule="auto"/>
              <w:ind w:firstLine="0"/>
              <w:contextualSpacing/>
              <w:rPr>
                <w:rFonts w:eastAsiaTheme="minorHAnsi"/>
                <w:iCs/>
              </w:rPr>
            </w:pPr>
            <w:r w:rsidRPr="000F1523">
              <w:rPr>
                <w:rFonts w:eastAsia="Times New Roman"/>
                <w:iCs/>
              </w:rPr>
              <w:t>- siūlome pabaigti rengti paveldo tvarkybos reglamentus, nurodomus</w:t>
            </w:r>
            <w:r w:rsidRPr="000F1523">
              <w:rPr>
                <w:rFonts w:eastAsiaTheme="minorHAnsi"/>
                <w:iCs/>
              </w:rPr>
              <w:t xml:space="preserve"> Paveldo tvarkybos reglamentų sąraše, patvirtintame Lietuvos Respublikos kultūros ministro 2005 m. balandžio 18 d. įsakymu Nr. ĮV-151. Juo nustatytos paveldo tvarkybos reglamentų normavimo sritys ir reglamentai, kuriuos reikia parengti šioms sritims reguliuoti. Iki šiol yra parengta tik nedidelė dalis reglamentų;</w:t>
            </w:r>
          </w:p>
          <w:p w14:paraId="663D1017" w14:textId="77777777" w:rsidR="000F1523" w:rsidRPr="000F1523" w:rsidRDefault="000F1523" w:rsidP="000F1523">
            <w:pPr>
              <w:spacing w:after="160" w:line="240" w:lineRule="auto"/>
              <w:ind w:firstLine="0"/>
              <w:contextualSpacing/>
              <w:rPr>
                <w:rFonts w:eastAsia="Times New Roman"/>
                <w:lang w:eastAsia="lt-LT"/>
              </w:rPr>
            </w:pPr>
            <w:r w:rsidRPr="000F1523">
              <w:rPr>
                <w:rFonts w:eastAsiaTheme="minorHAnsi"/>
                <w:iCs/>
              </w:rPr>
              <w:t xml:space="preserve"> </w:t>
            </w:r>
            <w:r w:rsidRPr="000F1523">
              <w:rPr>
                <w:rFonts w:eastAsia="Times New Roman"/>
                <w:lang w:eastAsia="lt-LT"/>
              </w:rPr>
              <w:t>- patvirtinti Mokslinės archeologijos komisijos nuostatus, juose įtvirtinant Archeologinių tyrimų duomenų bazės veikimo principus;</w:t>
            </w:r>
          </w:p>
          <w:p w14:paraId="4F9F390B" w14:textId="77777777" w:rsidR="000F1523" w:rsidRPr="000F1523" w:rsidRDefault="000F1523" w:rsidP="000F1523">
            <w:pPr>
              <w:spacing w:after="160" w:line="240" w:lineRule="auto"/>
              <w:ind w:firstLine="0"/>
              <w:contextualSpacing/>
              <w:rPr>
                <w:rFonts w:eastAsia="Times New Roman"/>
                <w:lang w:eastAsia="lt-LT"/>
              </w:rPr>
            </w:pPr>
            <w:r w:rsidRPr="000F1523">
              <w:rPr>
                <w:rFonts w:eastAsia="Times New Roman"/>
                <w:lang w:eastAsia="lt-LT"/>
              </w:rPr>
              <w:t>- parengti ir patvirtinti Archeologinių tyrimų duomenų bazės nuostatus;</w:t>
            </w:r>
          </w:p>
          <w:p w14:paraId="63B5A7EE" w14:textId="517464AB" w:rsidR="00694787" w:rsidRPr="000F1523" w:rsidRDefault="000F1523" w:rsidP="000F1523">
            <w:pPr>
              <w:spacing w:after="160" w:line="240" w:lineRule="auto"/>
              <w:ind w:firstLine="0"/>
              <w:contextualSpacing/>
              <w:rPr>
                <w:rFonts w:eastAsia="Times New Roman"/>
                <w:lang w:eastAsia="lt-LT"/>
              </w:rPr>
            </w:pPr>
            <w:r w:rsidRPr="000F1523">
              <w:rPr>
                <w:rFonts w:eastAsia="Times New Roman"/>
                <w:lang w:eastAsia="lt-LT"/>
              </w:rPr>
              <w:t>- užtikrinti Archeologinių tyrimų duomenų bazės veikimą ir viešą prieigą prie duomenų, kurie skelbiami šioje duomenų bazėje, laikantis Bendrojo duomenų apsaugos reglamento reikalavimų.</w:t>
            </w:r>
          </w:p>
        </w:tc>
        <w:tc>
          <w:tcPr>
            <w:tcW w:w="6230" w:type="dxa"/>
          </w:tcPr>
          <w:p w14:paraId="7675B6D8" w14:textId="205C30A8" w:rsidR="000F1523" w:rsidRDefault="000F1523" w:rsidP="00E36C72">
            <w:pPr>
              <w:tabs>
                <w:tab w:val="left" w:pos="567"/>
              </w:tabs>
              <w:spacing w:line="240" w:lineRule="auto"/>
              <w:ind w:firstLine="0"/>
              <w:rPr>
                <w:rFonts w:eastAsia="Times New Roman"/>
                <w:lang w:eastAsia="lt-LT"/>
              </w:rPr>
            </w:pPr>
            <w:r>
              <w:rPr>
                <w:rFonts w:eastAsia="Times New Roman"/>
                <w:lang w:eastAsia="lt-LT"/>
              </w:rPr>
              <w:t>Kultūros ministerija informavo, kad:</w:t>
            </w:r>
          </w:p>
          <w:p w14:paraId="1DAEA507" w14:textId="0BC35B9A" w:rsidR="000F1523" w:rsidRDefault="00D652CD" w:rsidP="00E36C72">
            <w:pPr>
              <w:tabs>
                <w:tab w:val="left" w:pos="567"/>
              </w:tabs>
              <w:spacing w:line="240" w:lineRule="auto"/>
              <w:ind w:firstLine="0"/>
              <w:rPr>
                <w:i/>
                <w:iCs/>
              </w:rPr>
            </w:pPr>
            <w:r>
              <w:t xml:space="preserve">- </w:t>
            </w:r>
            <w:r w:rsidR="000F1523" w:rsidRPr="006D065B">
              <w:t xml:space="preserve">bus parengtas ir patvirtintas </w:t>
            </w:r>
            <w:r w:rsidR="000F1523" w:rsidRPr="006D065B">
              <w:rPr>
                <w:iCs/>
              </w:rPr>
              <w:t xml:space="preserve">Nekilnojamųjų kultūros vertybių vertinimo, atrankos ir reikšmingumo lygmens nustatymo kriterijų aprašo pakeitimo projektas </w:t>
            </w:r>
            <w:r w:rsidR="000F1523" w:rsidRPr="006D065B">
              <w:rPr>
                <w:i/>
                <w:iCs/>
              </w:rPr>
              <w:t xml:space="preserve"> (II-III </w:t>
            </w:r>
            <w:proofErr w:type="spellStart"/>
            <w:r w:rsidR="000F1523" w:rsidRPr="006D065B">
              <w:rPr>
                <w:i/>
                <w:iCs/>
              </w:rPr>
              <w:t>ketv</w:t>
            </w:r>
            <w:proofErr w:type="spellEnd"/>
            <w:r w:rsidR="000F1523" w:rsidRPr="006D065B">
              <w:rPr>
                <w:i/>
                <w:iCs/>
              </w:rPr>
              <w:t>.)</w:t>
            </w:r>
            <w:r>
              <w:rPr>
                <w:i/>
                <w:iCs/>
              </w:rPr>
              <w:t>;</w:t>
            </w:r>
          </w:p>
          <w:p w14:paraId="153C7CD0" w14:textId="1F0F911B" w:rsidR="00D652CD" w:rsidRDefault="00D652CD" w:rsidP="00E36C72">
            <w:pPr>
              <w:tabs>
                <w:tab w:val="left" w:pos="567"/>
              </w:tabs>
              <w:spacing w:line="240" w:lineRule="auto"/>
              <w:ind w:firstLine="0"/>
              <w:rPr>
                <w:iCs/>
              </w:rPr>
            </w:pPr>
            <w:r>
              <w:rPr>
                <w:i/>
                <w:iCs/>
              </w:rPr>
              <w:t xml:space="preserve">- </w:t>
            </w:r>
            <w:r w:rsidRPr="006D065B">
              <w:t xml:space="preserve"> bus parengtas ir patvirtintas</w:t>
            </w:r>
            <w:r>
              <w:rPr>
                <w:b/>
              </w:rPr>
              <w:t xml:space="preserve"> </w:t>
            </w:r>
            <w:r w:rsidRPr="00FA48E7">
              <w:rPr>
                <w:iCs/>
              </w:rPr>
              <w:t xml:space="preserve">Nekilnojamojo kultūros paveldo inventorizavimo taisyklių </w:t>
            </w:r>
            <w:r>
              <w:rPr>
                <w:iCs/>
              </w:rPr>
              <w:t xml:space="preserve">pakeitimo </w:t>
            </w:r>
            <w:r w:rsidRPr="00FA48E7">
              <w:rPr>
                <w:iCs/>
              </w:rPr>
              <w:t xml:space="preserve">projektas. </w:t>
            </w:r>
            <w:r w:rsidRPr="00FA48E7">
              <w:rPr>
                <w:i/>
                <w:iCs/>
              </w:rPr>
              <w:t>(I</w:t>
            </w:r>
            <w:r>
              <w:rPr>
                <w:i/>
                <w:iCs/>
              </w:rPr>
              <w:t xml:space="preserve">I </w:t>
            </w:r>
            <w:proofErr w:type="spellStart"/>
            <w:r>
              <w:rPr>
                <w:i/>
                <w:iCs/>
              </w:rPr>
              <w:t>ketv</w:t>
            </w:r>
            <w:proofErr w:type="spellEnd"/>
            <w:r>
              <w:rPr>
                <w:i/>
                <w:iCs/>
              </w:rPr>
              <w:t>.</w:t>
            </w:r>
            <w:r>
              <w:rPr>
                <w:iCs/>
              </w:rPr>
              <w:t>);</w:t>
            </w:r>
          </w:p>
          <w:p w14:paraId="333E7102" w14:textId="28C1248E" w:rsidR="00D652CD" w:rsidRDefault="00D652CD" w:rsidP="00E36C72">
            <w:pPr>
              <w:tabs>
                <w:tab w:val="left" w:pos="567"/>
              </w:tabs>
              <w:spacing w:line="240" w:lineRule="auto"/>
              <w:ind w:firstLine="0"/>
              <w:rPr>
                <w:iCs/>
              </w:rPr>
            </w:pPr>
            <w:r>
              <w:rPr>
                <w:iCs/>
              </w:rPr>
              <w:t xml:space="preserve">- </w:t>
            </w:r>
            <w:r w:rsidRPr="001D5217">
              <w:rPr>
                <w:rFonts w:eastAsia="Times New Roman"/>
                <w:bCs/>
              </w:rPr>
              <w:t xml:space="preserve"> parengus ir patvirtinus Vilniaus senamiesčio tvarkymo planą bus siūloma Vilniaus miesto savivaldybei</w:t>
            </w:r>
            <w:r w:rsidRPr="001D5217">
              <w:rPr>
                <w:rFonts w:eastAsia="Times New Roman"/>
              </w:rPr>
              <w:t xml:space="preserve"> </w:t>
            </w:r>
            <w:r>
              <w:rPr>
                <w:rFonts w:eastAsia="Times New Roman"/>
              </w:rPr>
              <w:t xml:space="preserve">pakeisti arba pripažinti netekusiu galios </w:t>
            </w:r>
            <w:r w:rsidRPr="00B71DB1">
              <w:rPr>
                <w:iCs/>
              </w:rPr>
              <w:t>Vilniaus senamies</w:t>
            </w:r>
            <w:r w:rsidRPr="00B71DB1">
              <w:rPr>
                <w:rFonts w:hint="eastAsia"/>
                <w:iCs/>
              </w:rPr>
              <w:t>č</w:t>
            </w:r>
            <w:r w:rsidRPr="00B71DB1">
              <w:rPr>
                <w:iCs/>
              </w:rPr>
              <w:t>io regeneravimo projekto koncepcij</w:t>
            </w:r>
            <w:r>
              <w:rPr>
                <w:iCs/>
              </w:rPr>
              <w:t>ą</w:t>
            </w:r>
            <w:r w:rsidRPr="00B71DB1">
              <w:rPr>
                <w:iCs/>
              </w:rPr>
              <w:t xml:space="preserve"> ir sklyp</w:t>
            </w:r>
            <w:r w:rsidRPr="00B71DB1">
              <w:rPr>
                <w:rFonts w:hint="eastAsia"/>
                <w:iCs/>
              </w:rPr>
              <w:t>ų</w:t>
            </w:r>
            <w:r w:rsidRPr="00B71DB1">
              <w:rPr>
                <w:iCs/>
              </w:rPr>
              <w:t xml:space="preserve"> plan</w:t>
            </w:r>
            <w:r>
              <w:rPr>
                <w:iCs/>
              </w:rPr>
              <w:t>ą, 1996 m. patvirtintą Vilniaus miesto savivaldybės tarybos;</w:t>
            </w:r>
          </w:p>
          <w:p w14:paraId="14A42372" w14:textId="44C58128" w:rsidR="00D652CD" w:rsidRDefault="00D652CD" w:rsidP="00E36C72">
            <w:pPr>
              <w:tabs>
                <w:tab w:val="left" w:pos="567"/>
              </w:tabs>
              <w:spacing w:line="240" w:lineRule="auto"/>
              <w:ind w:firstLine="0"/>
              <w:rPr>
                <w:iCs/>
              </w:rPr>
            </w:pPr>
            <w:r>
              <w:rPr>
                <w:iCs/>
              </w:rPr>
              <w:t xml:space="preserve">- </w:t>
            </w:r>
            <w:r w:rsidRPr="00496756">
              <w:t xml:space="preserve"> sistemingas</w:t>
            </w:r>
            <w:r>
              <w:rPr>
                <w:b/>
              </w:rPr>
              <w:t xml:space="preserve"> </w:t>
            </w:r>
            <w:r>
              <w:t xml:space="preserve">Paveldo tvarkybos reglamentų rengimas pagal </w:t>
            </w:r>
            <w:r w:rsidRPr="00CB3B88">
              <w:rPr>
                <w:iCs/>
              </w:rPr>
              <w:t>Paveldo tvarkybos reglamentų sąraš</w:t>
            </w:r>
            <w:r>
              <w:rPr>
                <w:iCs/>
              </w:rPr>
              <w:t>ą, patvirtintą</w:t>
            </w:r>
            <w:r w:rsidRPr="00CB3B88">
              <w:rPr>
                <w:iCs/>
              </w:rPr>
              <w:t xml:space="preserve"> Lietuvos Respublikos kultūros ministro 2005 m. balandžio 18 d. įsakymu Nr. ĮV-151</w:t>
            </w:r>
            <w:r>
              <w:rPr>
                <w:iCs/>
              </w:rPr>
              <w:t>, numatytas Departamento 2020 m. veiklos plane;</w:t>
            </w:r>
          </w:p>
          <w:p w14:paraId="7284257D" w14:textId="0F6E8991" w:rsidR="00D652CD" w:rsidRDefault="00D652CD" w:rsidP="00D652CD">
            <w:pPr>
              <w:widowControl w:val="0"/>
              <w:autoSpaceDE w:val="0"/>
              <w:autoSpaceDN w:val="0"/>
              <w:adjustRightInd w:val="0"/>
              <w:spacing w:line="240" w:lineRule="auto"/>
              <w:ind w:firstLine="0"/>
              <w:rPr>
                <w:rFonts w:eastAsia="Times New Roman"/>
                <w:bCs/>
                <w:lang w:eastAsia="lt-LT"/>
              </w:rPr>
            </w:pPr>
            <w:r>
              <w:rPr>
                <w:rFonts w:eastAsia="Times New Roman"/>
                <w:lang w:eastAsia="lt-LT"/>
              </w:rPr>
              <w:t>-</w:t>
            </w:r>
            <w:r w:rsidRPr="00D652CD">
              <w:rPr>
                <w:rFonts w:eastAsia="Times New Roman"/>
                <w:lang w:eastAsia="lt-LT"/>
              </w:rPr>
              <w:t xml:space="preserve"> klausimai, susiję su informacijos apie archeologinių tyrimų projektus, jų pakeitimo ar papildymo projektus, išduotus leidimus atlikti archeologinius tyrimus, bus sprendžiami Leidimų atlikti archeologinius tyrimus išdavimo tvarkos apraše, tvirtinamame kultūros ministro </w:t>
            </w:r>
            <w:r w:rsidRPr="00D652CD">
              <w:rPr>
                <w:rFonts w:eastAsia="Times New Roman"/>
                <w:i/>
                <w:lang w:eastAsia="lt-LT"/>
              </w:rPr>
              <w:t>(II-III</w:t>
            </w:r>
            <w:r w:rsidRPr="00D652CD">
              <w:rPr>
                <w:rFonts w:eastAsia="Times New Roman"/>
                <w:b/>
                <w:bCs/>
                <w:i/>
                <w:lang w:eastAsia="lt-LT"/>
              </w:rPr>
              <w:t xml:space="preserve"> </w:t>
            </w:r>
            <w:proofErr w:type="spellStart"/>
            <w:r w:rsidRPr="00D652CD">
              <w:rPr>
                <w:rFonts w:eastAsia="Times New Roman"/>
                <w:bCs/>
                <w:i/>
                <w:lang w:eastAsia="lt-LT"/>
              </w:rPr>
              <w:t>ketv</w:t>
            </w:r>
            <w:proofErr w:type="spellEnd"/>
            <w:r w:rsidRPr="00D652CD">
              <w:rPr>
                <w:rFonts w:eastAsia="Times New Roman"/>
                <w:bCs/>
                <w:i/>
                <w:lang w:eastAsia="lt-LT"/>
              </w:rPr>
              <w:t>.)</w:t>
            </w:r>
            <w:r>
              <w:rPr>
                <w:rFonts w:eastAsia="Times New Roman"/>
                <w:bCs/>
                <w:lang w:eastAsia="lt-LT"/>
              </w:rPr>
              <w:t>;</w:t>
            </w:r>
          </w:p>
          <w:p w14:paraId="128CE48C" w14:textId="1577E876" w:rsidR="00D652CD" w:rsidRDefault="00D652CD" w:rsidP="00D652CD">
            <w:pPr>
              <w:spacing w:line="240" w:lineRule="auto"/>
              <w:ind w:firstLine="0"/>
              <w:rPr>
                <w:rFonts w:eastAsia="Times New Roman"/>
                <w:bCs/>
                <w:iCs/>
                <w:lang w:eastAsia="lt-LT"/>
              </w:rPr>
            </w:pPr>
            <w:r>
              <w:rPr>
                <w:rFonts w:eastAsia="Times New Roman"/>
                <w:bCs/>
                <w:lang w:eastAsia="lt-LT"/>
              </w:rPr>
              <w:t xml:space="preserve">- </w:t>
            </w:r>
            <w:r w:rsidRPr="00D652CD">
              <w:rPr>
                <w:rFonts w:eastAsia="Times New Roman"/>
                <w:bCs/>
                <w:lang w:eastAsia="lt-LT"/>
              </w:rPr>
              <w:t xml:space="preserve">kurti naują specializuotą duomenų bazę šiuo metu nėra galimybių, nes tam nėra numatyta finansinių resursų, tačiau siekiant įgyvendinti šį siūlymą, informacija apie Archeologinius tyrimus bus teikiama Departamento internetiniame tinklapyje </w:t>
            </w:r>
            <w:r w:rsidRPr="00D652CD">
              <w:rPr>
                <w:rFonts w:eastAsia="Times New Roman"/>
                <w:bCs/>
                <w:i/>
                <w:lang w:eastAsia="lt-LT"/>
              </w:rPr>
              <w:t>(II-III</w:t>
            </w:r>
            <w:r w:rsidRPr="00D652CD">
              <w:rPr>
                <w:rFonts w:eastAsia="Times New Roman"/>
                <w:b/>
                <w:bCs/>
                <w:i/>
                <w:lang w:eastAsia="lt-LT"/>
              </w:rPr>
              <w:t xml:space="preserve"> </w:t>
            </w:r>
            <w:proofErr w:type="spellStart"/>
            <w:r w:rsidRPr="00D652CD">
              <w:rPr>
                <w:rFonts w:eastAsia="Times New Roman"/>
                <w:bCs/>
                <w:i/>
                <w:lang w:eastAsia="lt-LT"/>
              </w:rPr>
              <w:t>ketv</w:t>
            </w:r>
            <w:proofErr w:type="spellEnd"/>
            <w:r w:rsidRPr="00D652CD">
              <w:rPr>
                <w:rFonts w:eastAsia="Times New Roman"/>
                <w:bCs/>
                <w:i/>
                <w:lang w:eastAsia="lt-LT"/>
              </w:rPr>
              <w:t>.)</w:t>
            </w:r>
            <w:r>
              <w:rPr>
                <w:rFonts w:eastAsia="Times New Roman"/>
                <w:bCs/>
                <w:iCs/>
                <w:lang w:eastAsia="lt-LT"/>
              </w:rPr>
              <w:t>;</w:t>
            </w:r>
          </w:p>
          <w:p w14:paraId="045E861C" w14:textId="77777777" w:rsidR="00D652CD" w:rsidRPr="00D652CD" w:rsidRDefault="00D652CD" w:rsidP="00D652CD">
            <w:pPr>
              <w:spacing w:line="240" w:lineRule="auto"/>
              <w:ind w:firstLine="0"/>
              <w:rPr>
                <w:rFonts w:eastAsia="Times New Roman"/>
                <w:bCs/>
                <w:iCs/>
                <w:lang w:eastAsia="lt-LT"/>
              </w:rPr>
            </w:pPr>
            <w:r>
              <w:rPr>
                <w:rFonts w:eastAsia="Times New Roman"/>
                <w:bCs/>
                <w:iCs/>
                <w:lang w:eastAsia="lt-LT"/>
              </w:rPr>
              <w:t xml:space="preserve">- </w:t>
            </w:r>
            <w:r w:rsidRPr="00D652CD">
              <w:rPr>
                <w:rFonts w:eastAsia="Times New Roman"/>
                <w:bCs/>
                <w:iCs/>
                <w:lang w:eastAsia="lt-LT"/>
              </w:rPr>
              <w:t xml:space="preserve">informacija apie Archeologinius tyrimus bus teikiama Departamento internetiniame tinklapyje </w:t>
            </w:r>
            <w:r w:rsidRPr="00D652CD">
              <w:rPr>
                <w:rFonts w:eastAsia="Times New Roman"/>
                <w:bCs/>
                <w:i/>
                <w:iCs/>
                <w:lang w:eastAsia="lt-LT"/>
              </w:rPr>
              <w:t>(II-III</w:t>
            </w:r>
            <w:r w:rsidRPr="00D652CD">
              <w:rPr>
                <w:rFonts w:eastAsia="Times New Roman"/>
                <w:b/>
                <w:bCs/>
                <w:i/>
                <w:iCs/>
                <w:lang w:eastAsia="lt-LT"/>
              </w:rPr>
              <w:t xml:space="preserve"> </w:t>
            </w:r>
            <w:proofErr w:type="spellStart"/>
            <w:r w:rsidRPr="00D652CD">
              <w:rPr>
                <w:rFonts w:eastAsia="Times New Roman"/>
                <w:bCs/>
                <w:i/>
                <w:iCs/>
                <w:lang w:eastAsia="lt-LT"/>
              </w:rPr>
              <w:t>ketv</w:t>
            </w:r>
            <w:proofErr w:type="spellEnd"/>
            <w:r w:rsidRPr="00D652CD">
              <w:rPr>
                <w:rFonts w:eastAsia="Times New Roman"/>
                <w:bCs/>
                <w:i/>
                <w:iCs/>
                <w:lang w:eastAsia="lt-LT"/>
              </w:rPr>
              <w:t>.)</w:t>
            </w:r>
            <w:r w:rsidRPr="00D652CD">
              <w:rPr>
                <w:rFonts w:eastAsia="Times New Roman"/>
                <w:bCs/>
                <w:iCs/>
                <w:lang w:eastAsia="lt-LT"/>
              </w:rPr>
              <w:t>.</w:t>
            </w:r>
          </w:p>
          <w:p w14:paraId="341DADA4" w14:textId="719B3DF3" w:rsidR="00D652CD" w:rsidRPr="00D652CD" w:rsidRDefault="00D652CD" w:rsidP="00D652CD">
            <w:pPr>
              <w:spacing w:line="240" w:lineRule="auto"/>
              <w:ind w:firstLine="0"/>
              <w:rPr>
                <w:rFonts w:eastAsia="Times New Roman"/>
                <w:bCs/>
                <w:lang w:eastAsia="lt-LT"/>
              </w:rPr>
            </w:pPr>
          </w:p>
          <w:p w14:paraId="556CF387" w14:textId="2D61FE2F" w:rsidR="00D652CD" w:rsidRPr="00D652CD" w:rsidRDefault="00D652CD" w:rsidP="00D652CD">
            <w:pPr>
              <w:widowControl w:val="0"/>
              <w:autoSpaceDE w:val="0"/>
              <w:autoSpaceDN w:val="0"/>
              <w:adjustRightInd w:val="0"/>
              <w:spacing w:line="240" w:lineRule="auto"/>
              <w:ind w:firstLine="0"/>
              <w:rPr>
                <w:rFonts w:eastAsiaTheme="minorHAnsi"/>
                <w:strike/>
                <w:lang w:eastAsia="lt-LT"/>
              </w:rPr>
            </w:pPr>
          </w:p>
          <w:p w14:paraId="67F8BE5C" w14:textId="73E4BA57" w:rsidR="00D652CD" w:rsidRPr="00D652CD" w:rsidRDefault="00D652CD" w:rsidP="00D652CD">
            <w:pPr>
              <w:tabs>
                <w:tab w:val="left" w:pos="567"/>
              </w:tabs>
              <w:spacing w:line="240" w:lineRule="auto"/>
              <w:ind w:firstLine="0"/>
              <w:rPr>
                <w:iCs/>
              </w:rPr>
            </w:pPr>
          </w:p>
          <w:p w14:paraId="4FFDCFE3" w14:textId="77777777" w:rsidR="000F1523" w:rsidRDefault="000F1523" w:rsidP="00E36C72">
            <w:pPr>
              <w:tabs>
                <w:tab w:val="left" w:pos="567"/>
              </w:tabs>
              <w:spacing w:line="240" w:lineRule="auto"/>
              <w:ind w:firstLine="0"/>
              <w:rPr>
                <w:rFonts w:eastAsia="Times New Roman"/>
                <w:lang w:eastAsia="lt-LT"/>
              </w:rPr>
            </w:pPr>
          </w:p>
          <w:p w14:paraId="571D2934" w14:textId="77777777" w:rsidR="000F1523" w:rsidRDefault="000F1523" w:rsidP="00E36C72">
            <w:pPr>
              <w:tabs>
                <w:tab w:val="left" w:pos="567"/>
              </w:tabs>
              <w:spacing w:line="240" w:lineRule="auto"/>
              <w:ind w:firstLine="0"/>
              <w:rPr>
                <w:rFonts w:eastAsia="Times New Roman"/>
                <w:lang w:eastAsia="lt-LT"/>
              </w:rPr>
            </w:pPr>
          </w:p>
          <w:p w14:paraId="14C2A5C1" w14:textId="77777777" w:rsidR="000F1523" w:rsidRDefault="000F1523" w:rsidP="00E36C72">
            <w:pPr>
              <w:tabs>
                <w:tab w:val="left" w:pos="567"/>
              </w:tabs>
              <w:spacing w:line="240" w:lineRule="auto"/>
              <w:ind w:firstLine="0"/>
              <w:rPr>
                <w:rFonts w:eastAsia="Times New Roman"/>
                <w:lang w:eastAsia="lt-LT"/>
              </w:rPr>
            </w:pPr>
          </w:p>
          <w:p w14:paraId="0A5DAC3E" w14:textId="77777777" w:rsidR="000F1523" w:rsidRDefault="000F1523" w:rsidP="00E36C72">
            <w:pPr>
              <w:tabs>
                <w:tab w:val="left" w:pos="567"/>
              </w:tabs>
              <w:spacing w:line="240" w:lineRule="auto"/>
              <w:ind w:firstLine="0"/>
              <w:rPr>
                <w:rFonts w:eastAsia="Times New Roman"/>
                <w:lang w:eastAsia="lt-LT"/>
              </w:rPr>
            </w:pPr>
          </w:p>
          <w:p w14:paraId="46A572CE" w14:textId="77777777" w:rsidR="000F1523" w:rsidRDefault="000F1523" w:rsidP="00E36C72">
            <w:pPr>
              <w:tabs>
                <w:tab w:val="left" w:pos="567"/>
              </w:tabs>
              <w:spacing w:line="240" w:lineRule="auto"/>
              <w:ind w:firstLine="0"/>
              <w:rPr>
                <w:rFonts w:eastAsia="Times New Roman"/>
                <w:lang w:eastAsia="lt-LT"/>
              </w:rPr>
            </w:pPr>
          </w:p>
          <w:p w14:paraId="54323016" w14:textId="77777777" w:rsidR="000F1523" w:rsidRDefault="000F1523" w:rsidP="00E36C72">
            <w:pPr>
              <w:tabs>
                <w:tab w:val="left" w:pos="567"/>
              </w:tabs>
              <w:spacing w:line="240" w:lineRule="auto"/>
              <w:ind w:firstLine="0"/>
              <w:rPr>
                <w:rFonts w:eastAsia="Times New Roman"/>
                <w:lang w:eastAsia="lt-LT"/>
              </w:rPr>
            </w:pPr>
          </w:p>
          <w:p w14:paraId="4AF83E49" w14:textId="5C8655E0" w:rsidR="000F1523" w:rsidRPr="00E36C72" w:rsidRDefault="000F1523" w:rsidP="00E36C72">
            <w:pPr>
              <w:tabs>
                <w:tab w:val="left" w:pos="567"/>
              </w:tabs>
              <w:spacing w:line="240" w:lineRule="auto"/>
              <w:ind w:firstLine="0"/>
              <w:rPr>
                <w:rFonts w:eastAsia="Times New Roman"/>
                <w:lang w:eastAsia="lt-LT"/>
              </w:rPr>
            </w:pPr>
          </w:p>
        </w:tc>
        <w:tc>
          <w:tcPr>
            <w:tcW w:w="3908" w:type="dxa"/>
          </w:tcPr>
          <w:p w14:paraId="06881D0C" w14:textId="77777777" w:rsidR="007E6115" w:rsidRPr="00DD743E" w:rsidRDefault="007E6115" w:rsidP="007E6115">
            <w:pPr>
              <w:spacing w:line="240" w:lineRule="auto"/>
              <w:ind w:firstLine="0"/>
              <w:rPr>
                <w:b/>
                <w:color w:val="2E74B5" w:themeColor="accent1" w:themeShade="BF"/>
              </w:rPr>
            </w:pPr>
            <w:r w:rsidRPr="00DD743E">
              <w:rPr>
                <w:b/>
                <w:color w:val="2E74B5" w:themeColor="accent1" w:themeShade="BF"/>
              </w:rPr>
              <w:t>Atsižvelgta</w:t>
            </w:r>
            <w:r>
              <w:rPr>
                <w:b/>
                <w:color w:val="2E74B5" w:themeColor="accent1" w:themeShade="BF"/>
              </w:rPr>
              <w:t xml:space="preserve"> iš dalies</w:t>
            </w:r>
            <w:r w:rsidRPr="00DD743E">
              <w:rPr>
                <w:b/>
                <w:color w:val="2E74B5" w:themeColor="accent1" w:themeShade="BF"/>
              </w:rPr>
              <w:t>.</w:t>
            </w:r>
          </w:p>
          <w:p w14:paraId="516B7B0D" w14:textId="5C474868" w:rsidR="00415253" w:rsidRPr="00BD0CA5" w:rsidRDefault="001071B1" w:rsidP="00FC551A">
            <w:pPr>
              <w:spacing w:line="240" w:lineRule="auto"/>
              <w:ind w:firstLine="0"/>
              <w:jc w:val="left"/>
            </w:pPr>
            <w:r>
              <w:rPr>
                <w:b/>
              </w:rPr>
              <w:t xml:space="preserve">Pasiūlymus II – III </w:t>
            </w:r>
            <w:proofErr w:type="spellStart"/>
            <w:r>
              <w:rPr>
                <w:b/>
              </w:rPr>
              <w:t>ketv</w:t>
            </w:r>
            <w:proofErr w:type="spellEnd"/>
            <w:r>
              <w:rPr>
                <w:b/>
              </w:rPr>
              <w:t xml:space="preserve">. planuojami įgyvendinti iš dalies, </w:t>
            </w:r>
            <w:r w:rsidRPr="00BD0CA5">
              <w:t xml:space="preserve">nes </w:t>
            </w:r>
            <w:r w:rsidR="00415253" w:rsidRPr="00BD0CA5">
              <w:t xml:space="preserve"> </w:t>
            </w:r>
            <w:r w:rsidR="003A26A9" w:rsidRPr="00BD0CA5">
              <w:t>pasiūlymai dėl Archeologinių tyrimų duomenų bazės veikimo, jos nuostatų patvirtinimo ir įteisinimo kol kas nėra įgyvendinti</w:t>
            </w:r>
            <w:r w:rsidR="00415253" w:rsidRPr="00BD0CA5">
              <w:t>.</w:t>
            </w:r>
          </w:p>
          <w:p w14:paraId="307A54C8" w14:textId="67457D7E" w:rsidR="007410AD" w:rsidRPr="003C0442" w:rsidRDefault="007410AD" w:rsidP="00522585">
            <w:pPr>
              <w:spacing w:line="240" w:lineRule="auto"/>
              <w:ind w:firstLine="0"/>
              <w:rPr>
                <w:b/>
              </w:rPr>
            </w:pPr>
          </w:p>
        </w:tc>
      </w:tr>
      <w:tr w:rsidR="00D652CD" w:rsidRPr="00011272" w14:paraId="3F3AAAC8" w14:textId="77777777" w:rsidTr="009F503E">
        <w:trPr>
          <w:trHeight w:val="557"/>
        </w:trPr>
        <w:tc>
          <w:tcPr>
            <w:tcW w:w="15115" w:type="dxa"/>
            <w:gridSpan w:val="4"/>
          </w:tcPr>
          <w:p w14:paraId="2B002290" w14:textId="556525D7" w:rsidR="00D652CD" w:rsidRDefault="0043634B" w:rsidP="00FC551A">
            <w:pPr>
              <w:spacing w:line="240" w:lineRule="auto"/>
              <w:ind w:firstLine="0"/>
              <w:jc w:val="left"/>
              <w:rPr>
                <w:b/>
              </w:rPr>
            </w:pPr>
            <w:r>
              <w:rPr>
                <w:i/>
              </w:rPr>
              <w:t>4</w:t>
            </w:r>
            <w:r w:rsidR="00D652CD">
              <w:rPr>
                <w:i/>
              </w:rPr>
              <w:t xml:space="preserve">. </w:t>
            </w:r>
            <w:r w:rsidR="00D652CD" w:rsidRPr="00F478F2">
              <w:rPr>
                <w:i/>
              </w:rPr>
              <w:t xml:space="preserve">Pasiūlymai </w:t>
            </w:r>
            <w:r w:rsidR="00D652CD" w:rsidRPr="00784BDF">
              <w:rPr>
                <w:b/>
                <w:i/>
              </w:rPr>
              <w:t>Kultūros ministerijai</w:t>
            </w:r>
            <w:r w:rsidR="00D652CD">
              <w:rPr>
                <w:b/>
                <w:i/>
              </w:rPr>
              <w:t xml:space="preserve"> </w:t>
            </w:r>
            <w:r w:rsidR="00D652CD" w:rsidRPr="007E0C1A">
              <w:rPr>
                <w:b/>
                <w:i/>
                <w:iCs/>
              </w:rPr>
              <w:t xml:space="preserve"> kartu su Aplinkos ministerija ir Kultūros paveldo departamentu </w:t>
            </w:r>
            <w:r w:rsidR="00D652CD">
              <w:rPr>
                <w:i/>
              </w:rPr>
              <w:t>dėl korupcijos rizikos</w:t>
            </w:r>
            <w:r w:rsidR="00D652CD">
              <w:rPr>
                <w:i/>
                <w:color w:val="000000" w:themeColor="text1"/>
              </w:rPr>
              <w:t xml:space="preserve"> KPD ginant viešąjį interesą ir nustatant jo pažeidimus nekilnojamojo kultūros paveldo apsaugos srityje</w:t>
            </w:r>
            <w:r w:rsidR="00D652CD">
              <w:rPr>
                <w:i/>
              </w:rPr>
              <w:t xml:space="preserve"> mažinimo</w:t>
            </w:r>
            <w:r w:rsidR="00D652CD">
              <w:rPr>
                <w:rFonts w:eastAsia="Times New Roman"/>
                <w:i/>
                <w:lang w:eastAsia="lt-LT"/>
              </w:rPr>
              <w:t>:</w:t>
            </w:r>
          </w:p>
        </w:tc>
      </w:tr>
      <w:tr w:rsidR="0014681A" w:rsidRPr="00011272" w14:paraId="36C8CF5A" w14:textId="77777777" w:rsidTr="009F503E">
        <w:trPr>
          <w:trHeight w:val="847"/>
        </w:trPr>
        <w:tc>
          <w:tcPr>
            <w:tcW w:w="576" w:type="dxa"/>
          </w:tcPr>
          <w:p w14:paraId="64C0C727" w14:textId="2BC45467" w:rsidR="0014681A" w:rsidRPr="00011272" w:rsidRDefault="0043634B" w:rsidP="00522585">
            <w:pPr>
              <w:spacing w:line="400" w:lineRule="exact"/>
              <w:ind w:left="-897" w:right="-147" w:firstLine="851"/>
            </w:pPr>
            <w:r>
              <w:t>4.1.</w:t>
            </w:r>
          </w:p>
        </w:tc>
        <w:tc>
          <w:tcPr>
            <w:tcW w:w="4401" w:type="dxa"/>
          </w:tcPr>
          <w:p w14:paraId="6038FB02" w14:textId="45BD6B27" w:rsidR="00D652CD" w:rsidRPr="00D652CD" w:rsidRDefault="00D652CD" w:rsidP="00D652CD">
            <w:pPr>
              <w:spacing w:after="160" w:line="240" w:lineRule="auto"/>
              <w:ind w:firstLine="0"/>
              <w:contextualSpacing/>
              <w:rPr>
                <w:rFonts w:eastAsiaTheme="minorHAnsi"/>
                <w:iCs/>
              </w:rPr>
            </w:pPr>
            <w:r w:rsidRPr="00D652CD">
              <w:rPr>
                <w:rFonts w:eastAsiaTheme="minorHAnsi"/>
                <w:iCs/>
              </w:rPr>
              <w:t xml:space="preserve">Tobulinti teisinį reglamentavimą, NKPAĮ ir Statybos įstatymo nuostatas, taip pat statybos techninių ir paveldo tvarkybos reglamentų nuostatas, aiškiai atskirti institucijų kompetenciją, pašalinti esamas teisinio reguliavimo spragas ir </w:t>
            </w:r>
            <w:proofErr w:type="spellStart"/>
            <w:r w:rsidRPr="00D652CD">
              <w:rPr>
                <w:rFonts w:eastAsiaTheme="minorHAnsi"/>
                <w:iCs/>
              </w:rPr>
              <w:t>prieštaravimus</w:t>
            </w:r>
            <w:proofErr w:type="spellEnd"/>
            <w:r w:rsidR="0043634B">
              <w:rPr>
                <w:rFonts w:eastAsiaTheme="minorHAnsi"/>
                <w:iCs/>
              </w:rPr>
              <w:t>:</w:t>
            </w:r>
          </w:p>
          <w:p w14:paraId="0502526C" w14:textId="41477331" w:rsidR="00D652CD" w:rsidRPr="00D652CD" w:rsidRDefault="003A26A9" w:rsidP="0043634B">
            <w:pPr>
              <w:spacing w:after="160" w:line="240" w:lineRule="auto"/>
              <w:ind w:firstLine="0"/>
              <w:contextualSpacing/>
              <w:rPr>
                <w:rFonts w:eastAsiaTheme="minorHAnsi"/>
                <w:i/>
                <w:iCs/>
              </w:rPr>
            </w:pPr>
            <w:r>
              <w:rPr>
                <w:rFonts w:eastAsiaTheme="minorHAnsi"/>
                <w:iCs/>
              </w:rPr>
              <w:t>1)</w:t>
            </w:r>
            <w:r w:rsidR="0043634B">
              <w:rPr>
                <w:rFonts w:eastAsiaTheme="minorHAnsi"/>
                <w:iCs/>
              </w:rPr>
              <w:t xml:space="preserve"> </w:t>
            </w:r>
            <w:r w:rsidR="00D652CD" w:rsidRPr="00D652CD">
              <w:rPr>
                <w:rFonts w:eastAsiaTheme="minorHAnsi"/>
                <w:iCs/>
              </w:rPr>
              <w:t xml:space="preserve">Teisiniame reglamentavime nustatyti prievolę statytoją (paveldo tvarkytoją) konkrečiu atveju informuoti, kad kartu su leidimu tvarkybos darbams atlikti turi būti gautas ir statybą leidžiantis dokumentas, taip pat nustatyti šią prievolę vykdančią instituciją. </w:t>
            </w:r>
            <w:r w:rsidR="00D652CD" w:rsidRPr="00D652CD">
              <w:rPr>
                <w:rFonts w:eastAsiaTheme="minorHAnsi"/>
                <w:i/>
                <w:iCs/>
              </w:rPr>
              <w:t>Arba peržiūrėti vykdomus procesus ir juos optimizuoti.</w:t>
            </w:r>
          </w:p>
          <w:p w14:paraId="52A515A8" w14:textId="6D9E5A60" w:rsidR="0014681A" w:rsidRPr="00D652CD" w:rsidRDefault="0043634B" w:rsidP="0043634B">
            <w:pPr>
              <w:spacing w:after="160" w:line="240" w:lineRule="auto"/>
              <w:ind w:firstLine="0"/>
              <w:contextualSpacing/>
              <w:rPr>
                <w:rFonts w:eastAsiaTheme="minorHAnsi"/>
                <w:bCs/>
                <w:iCs/>
              </w:rPr>
            </w:pPr>
            <w:r>
              <w:rPr>
                <w:rFonts w:eastAsiaTheme="minorHAnsi"/>
                <w:iCs/>
              </w:rPr>
              <w:t>2</w:t>
            </w:r>
            <w:r w:rsidR="00D652CD" w:rsidRPr="00D652CD">
              <w:rPr>
                <w:rFonts w:eastAsiaTheme="minorHAnsi"/>
                <w:iCs/>
              </w:rPr>
              <w:t xml:space="preserve">) Tobulinti Statybos techninį reglamentą STR 1.01.01:2005 </w:t>
            </w:r>
            <w:r w:rsidR="00D652CD" w:rsidRPr="00D652CD">
              <w:rPr>
                <w:rFonts w:eastAsiaTheme="minorHAnsi"/>
                <w:bCs/>
                <w:iCs/>
              </w:rPr>
              <w:t>Kultūros paveldo statinio tvarkomųjų statybos darbų reglamentus; Paveldo tvarkybos reglamentus PTR 3.06.01:2014 Kultūros paveldo tvarkybos darbų projektų rengimo taisykles ir PTR 3.08.01:2013 Tvarkybos darbų rūšis pagal galiojantį ir aktualios redakcijos teisinį reglamentavimą, koreguoti sąvokas, terminus, kitas aktualias nuostatas; nustatyti subjektus, kurie atsako už kompetencijų atskyrimą ir (ar) šio reglamento nesilaikymą (statybos ar kultūros paveldo valstybinę priežiūrą atliekantys subjektai, ar statytojas, ar kt.).</w:t>
            </w:r>
          </w:p>
        </w:tc>
        <w:tc>
          <w:tcPr>
            <w:tcW w:w="6230" w:type="dxa"/>
          </w:tcPr>
          <w:p w14:paraId="49311E38" w14:textId="77777777" w:rsidR="0014681A" w:rsidRDefault="0043634B" w:rsidP="00B55509">
            <w:pPr>
              <w:tabs>
                <w:tab w:val="left" w:pos="567"/>
              </w:tabs>
              <w:spacing w:line="240" w:lineRule="auto"/>
              <w:ind w:firstLine="0"/>
            </w:pPr>
            <w:r>
              <w:rPr>
                <w:rFonts w:eastAsia="Times New Roman"/>
                <w:lang w:eastAsia="lt-LT"/>
              </w:rPr>
              <w:t xml:space="preserve">Kultūros ministerija informavo, kad neatsižvelgs į pirmąjį pasiūlymą, nes </w:t>
            </w:r>
            <w:r>
              <w:t>atvejai, kada reikalingas statybą leidžiantis dokumentas yra nustatyti Statybos įstatyme.</w:t>
            </w:r>
          </w:p>
          <w:p w14:paraId="223CBCDA" w14:textId="7906ED87" w:rsidR="0043634B" w:rsidRPr="00E36C72" w:rsidRDefault="0043634B" w:rsidP="0043634B">
            <w:pPr>
              <w:tabs>
                <w:tab w:val="left" w:pos="567"/>
              </w:tabs>
              <w:spacing w:line="240" w:lineRule="auto"/>
              <w:ind w:firstLine="0"/>
              <w:rPr>
                <w:rFonts w:eastAsia="Times New Roman"/>
                <w:lang w:eastAsia="lt-LT"/>
              </w:rPr>
            </w:pPr>
            <w:r>
              <w:t xml:space="preserve">Dėl antrojo pasiūlymo informavo, kad </w:t>
            </w:r>
            <w:r w:rsidRPr="00482625">
              <w:t xml:space="preserve"> bus peržiūrėti nurodyti teisės aktai ir</w:t>
            </w:r>
            <w:r>
              <w:t xml:space="preserve"> pagal poreikį</w:t>
            </w:r>
            <w:r w:rsidRPr="00482625">
              <w:t xml:space="preserve"> parengti ir pavirtinti jų pakeitimai</w:t>
            </w:r>
            <w:r>
              <w:t xml:space="preserve"> (III-IV </w:t>
            </w:r>
            <w:proofErr w:type="spellStart"/>
            <w:r>
              <w:t>ketv</w:t>
            </w:r>
            <w:proofErr w:type="spellEnd"/>
            <w:r>
              <w:t>.)</w:t>
            </w:r>
            <w:r w:rsidR="00EB5468">
              <w:t>.</w:t>
            </w:r>
          </w:p>
        </w:tc>
        <w:tc>
          <w:tcPr>
            <w:tcW w:w="3908" w:type="dxa"/>
          </w:tcPr>
          <w:p w14:paraId="6C6EC5C6" w14:textId="59645538" w:rsidR="003A26A9" w:rsidRPr="006B2F08" w:rsidRDefault="002913EC" w:rsidP="003A26A9">
            <w:pPr>
              <w:spacing w:line="240" w:lineRule="auto"/>
              <w:ind w:firstLine="0"/>
            </w:pPr>
            <w:r>
              <w:rPr>
                <w:b/>
                <w:color w:val="FF0000"/>
              </w:rPr>
              <w:t>Neatsižvelgta</w:t>
            </w:r>
            <w:r w:rsidR="003A26A9" w:rsidRPr="006B2F08">
              <w:t>, nes:</w:t>
            </w:r>
          </w:p>
          <w:p w14:paraId="5DDB5802" w14:textId="483D5367" w:rsidR="003A26A9" w:rsidRDefault="003A26A9" w:rsidP="003A26A9">
            <w:pPr>
              <w:spacing w:line="240" w:lineRule="auto"/>
              <w:ind w:firstLine="0"/>
            </w:pPr>
            <w:r w:rsidRPr="003A26A9">
              <w:t>1) institucijos mano, jog</w:t>
            </w:r>
            <w:r>
              <w:rPr>
                <w:b/>
              </w:rPr>
              <w:t xml:space="preserve"> </w:t>
            </w:r>
            <w:r w:rsidR="00B55509">
              <w:rPr>
                <w:b/>
              </w:rPr>
              <w:t xml:space="preserve"> </w:t>
            </w:r>
            <w:r>
              <w:t xml:space="preserve">atvejai, kada reikalingas statybą leidžiantis dokumentas yra nustatyti Statybos įstatyme; </w:t>
            </w:r>
          </w:p>
          <w:p w14:paraId="108C9D94" w14:textId="7C46CC1A" w:rsidR="003A26A9" w:rsidRDefault="003A26A9" w:rsidP="003A26A9">
            <w:pPr>
              <w:spacing w:line="240" w:lineRule="auto"/>
              <w:ind w:firstLine="0"/>
            </w:pPr>
            <w:r>
              <w:t>2) institucijos nepateikė informacijos apie tvarkybos ir statybos procesų peržiūrėjimą ir jų optimizavimą.</w:t>
            </w:r>
          </w:p>
          <w:p w14:paraId="337AB19F" w14:textId="286B0D7B" w:rsidR="00EB5468" w:rsidRDefault="00EB5468" w:rsidP="003A26A9">
            <w:pPr>
              <w:spacing w:line="240" w:lineRule="auto"/>
              <w:ind w:firstLine="0"/>
            </w:pPr>
            <w:r>
              <w:t xml:space="preserve">Atsižvelgdami į korupcijos rizikos analizė išvadoje pateikiamus argumentus, siūlytina pakartotinai svarstyti dėl pasiūlymų įgyvendinimo, nes pateiktas atsakymas nenurodo veiksmų, nepašalinančių egzistuojančius korupcijos rizikos veiksnius. </w:t>
            </w:r>
          </w:p>
          <w:p w14:paraId="4310EDCB" w14:textId="62D228F9" w:rsidR="003A26A9" w:rsidRDefault="003A26A9" w:rsidP="003A26A9">
            <w:pPr>
              <w:spacing w:line="240" w:lineRule="auto"/>
              <w:ind w:firstLine="0"/>
            </w:pPr>
            <w:r w:rsidRPr="00254056">
              <w:rPr>
                <w:b/>
                <w:color w:val="0070C0"/>
              </w:rPr>
              <w:t>Pasiūlymą Nr. 2 planuojama įgyvendinti iš dalies</w:t>
            </w:r>
            <w:r w:rsidRPr="00EB5468">
              <w:rPr>
                <w:b/>
              </w:rPr>
              <w:t>, nes</w:t>
            </w:r>
            <w:r>
              <w:t xml:space="preserve"> šiame pasiūlyme minimi teisės aktus planuojama peržiūrėti ir  pagal poreikį</w:t>
            </w:r>
            <w:r w:rsidRPr="00482625">
              <w:t xml:space="preserve"> pare</w:t>
            </w:r>
            <w:r>
              <w:t>ngti ir pavirtinti jų pakeitimus, tačiau neaišku kas lems šį poreikį</w:t>
            </w:r>
            <w:r w:rsidR="00EB5468">
              <w:t>.</w:t>
            </w:r>
          </w:p>
          <w:p w14:paraId="0F25C37A" w14:textId="12890D08" w:rsidR="00577348" w:rsidRPr="00694787" w:rsidRDefault="00577348" w:rsidP="003A26A9">
            <w:pPr>
              <w:spacing w:line="240" w:lineRule="auto"/>
              <w:ind w:firstLine="0"/>
              <w:jc w:val="left"/>
            </w:pPr>
          </w:p>
        </w:tc>
      </w:tr>
      <w:tr w:rsidR="0043634B" w:rsidRPr="00011272" w14:paraId="17504FCE" w14:textId="77777777" w:rsidTr="009F503E">
        <w:trPr>
          <w:trHeight w:val="395"/>
        </w:trPr>
        <w:tc>
          <w:tcPr>
            <w:tcW w:w="15115" w:type="dxa"/>
            <w:gridSpan w:val="4"/>
          </w:tcPr>
          <w:p w14:paraId="035CB9CB" w14:textId="7B7F5165" w:rsidR="0043634B" w:rsidRDefault="0043634B" w:rsidP="0043634B">
            <w:pPr>
              <w:spacing w:line="240" w:lineRule="auto"/>
              <w:ind w:firstLine="0"/>
              <w:rPr>
                <w:b/>
              </w:rPr>
            </w:pPr>
            <w:r>
              <w:rPr>
                <w:i/>
              </w:rPr>
              <w:t xml:space="preserve">5. </w:t>
            </w:r>
            <w:r w:rsidRPr="00F478F2">
              <w:rPr>
                <w:i/>
              </w:rPr>
              <w:t xml:space="preserve">Pasiūlymai </w:t>
            </w:r>
            <w:r w:rsidRPr="007E0C1A">
              <w:rPr>
                <w:b/>
                <w:i/>
                <w:iCs/>
              </w:rPr>
              <w:t>Aplinkos ministerija</w:t>
            </w:r>
            <w:r>
              <w:rPr>
                <w:b/>
                <w:i/>
                <w:iCs/>
              </w:rPr>
              <w:t>i</w:t>
            </w:r>
            <w:r w:rsidRPr="007E0C1A">
              <w:rPr>
                <w:b/>
                <w:i/>
                <w:iCs/>
              </w:rPr>
              <w:t xml:space="preserve"> </w:t>
            </w:r>
            <w:r>
              <w:rPr>
                <w:i/>
              </w:rPr>
              <w:t>dėl teisinio reglamentavimo tobulinimo ir korupcijos rizikos</w:t>
            </w:r>
            <w:r>
              <w:rPr>
                <w:i/>
                <w:color w:val="000000" w:themeColor="text1"/>
              </w:rPr>
              <w:t xml:space="preserve"> nekilnojamojo kultūros paveldo apsaugos srityje</w:t>
            </w:r>
            <w:r>
              <w:rPr>
                <w:i/>
              </w:rPr>
              <w:t xml:space="preserve"> mažinimo</w:t>
            </w:r>
            <w:r>
              <w:rPr>
                <w:rFonts w:eastAsia="Times New Roman"/>
                <w:i/>
                <w:lang w:eastAsia="lt-LT"/>
              </w:rPr>
              <w:t>:</w:t>
            </w:r>
          </w:p>
        </w:tc>
      </w:tr>
      <w:tr w:rsidR="0014681A" w:rsidRPr="00011272" w14:paraId="642292CA" w14:textId="77777777" w:rsidTr="00BD0CA5">
        <w:trPr>
          <w:trHeight w:val="530"/>
        </w:trPr>
        <w:tc>
          <w:tcPr>
            <w:tcW w:w="576" w:type="dxa"/>
          </w:tcPr>
          <w:p w14:paraId="5A45CCDE" w14:textId="0A0E6427" w:rsidR="0014681A" w:rsidRDefault="0043634B" w:rsidP="0043634B">
            <w:pPr>
              <w:spacing w:line="400" w:lineRule="exact"/>
              <w:ind w:right="-147" w:firstLine="0"/>
            </w:pPr>
            <w:r>
              <w:t>5.1.</w:t>
            </w:r>
          </w:p>
        </w:tc>
        <w:tc>
          <w:tcPr>
            <w:tcW w:w="4401" w:type="dxa"/>
          </w:tcPr>
          <w:p w14:paraId="42D15024" w14:textId="0E08F645" w:rsidR="0014681A" w:rsidRPr="009229E9" w:rsidRDefault="0043634B" w:rsidP="00651B08">
            <w:pPr>
              <w:spacing w:line="240" w:lineRule="auto"/>
              <w:ind w:firstLine="0"/>
              <w:rPr>
                <w:rFonts w:eastAsia="Times New Roman"/>
                <w:lang w:eastAsia="lt-LT"/>
              </w:rPr>
            </w:pPr>
            <w:r w:rsidRPr="00B71DB1">
              <w:t xml:space="preserve">Tobulinti ir keisti Statybos techninio reglamento STR 1.01.08:2002 „Statinio statybos rūšys“ nuostatas, reglamentuojančias naujo statinio statybos ir statinio rekonstrukcijos kategorijas, svarstyti galimybę grąžinti (ar tobulinti) buvusią nuostatą, nurodančią, kad priestato statyba priskiriama naujo statinio statybai, jei jo visų aukštų, taip pat rūsio (pusrūsio), antstatų, pastogės patalpų plotų suma didesnė kaip 10 procentų už tokiu pat būdu apskaičiuotą statinio, prie kurio jis pristatomas, plotų sumą; rekonstrukcijai </w:t>
            </w:r>
            <w:r w:rsidRPr="00B71DB1">
              <w:rPr>
                <w:i/>
              </w:rPr>
              <w:t>–</w:t>
            </w:r>
            <w:r w:rsidRPr="00B71DB1">
              <w:t xml:space="preserve"> priestato visų aukštų, taip pat rūsio (pusrūsio), antstatų, pastogės patalpų plotų suma neturi būti didesnė kaip 10 procentų už tokiu pat būdu apskaičiuotą statinio, prie kurio jis pristatomas, plotų sumą. </w:t>
            </w:r>
            <w:r w:rsidRPr="00B71DB1">
              <w:rPr>
                <w:i/>
              </w:rPr>
              <w:t>Arba numatyti kitą alternatyvų teisinį šių kategorijų reglamentavimą, tinkamai ribojantį naują statybą ypatingai saugomoje kultūros paveldo teritorijoje.</w:t>
            </w:r>
          </w:p>
        </w:tc>
        <w:tc>
          <w:tcPr>
            <w:tcW w:w="6230" w:type="dxa"/>
          </w:tcPr>
          <w:p w14:paraId="72FC59B4" w14:textId="50FBDDCF" w:rsidR="0028265F" w:rsidRPr="004E5FC2" w:rsidRDefault="0043634B" w:rsidP="004E5FC2">
            <w:pPr>
              <w:spacing w:line="240" w:lineRule="auto"/>
              <w:ind w:firstLine="0"/>
              <w:rPr>
                <w:rFonts w:eastAsia="Times New Roman"/>
                <w:lang w:eastAsia="lt-LT"/>
              </w:rPr>
            </w:pPr>
            <w:r>
              <w:rPr>
                <w:rFonts w:eastAsia="Times New Roman"/>
                <w:lang w:eastAsia="lt-LT"/>
              </w:rPr>
              <w:t xml:space="preserve">Kultūros ministerija informavo, kad </w:t>
            </w:r>
            <w:r w:rsidRPr="00B71DB1">
              <w:t>Aplinkos ministerij</w:t>
            </w:r>
            <w:r>
              <w:t>os nuomone</w:t>
            </w:r>
            <w:r w:rsidRPr="00B71DB1">
              <w:t>, tikslinti statybos rūšis reglamentuojančias naujo statinio staty</w:t>
            </w:r>
            <w:r>
              <w:t xml:space="preserve">bos ir rekonstrukcijos sąvokas nėra pagrindo. </w:t>
            </w:r>
            <w:r>
              <w:rPr>
                <w:bCs/>
              </w:rPr>
              <w:t xml:space="preserve">Bus kompleksiškai peržiūrėtos Statybos įstatyme ir NKPAĮ vartojamos susijusios sąvokos ir pagal poreikį pateikti siūlymai dėl jų keitimo (IV </w:t>
            </w:r>
            <w:proofErr w:type="spellStart"/>
            <w:r>
              <w:rPr>
                <w:bCs/>
              </w:rPr>
              <w:t>ketv</w:t>
            </w:r>
            <w:proofErr w:type="spellEnd"/>
            <w:r>
              <w:rPr>
                <w:bCs/>
              </w:rPr>
              <w:t>.).</w:t>
            </w:r>
          </w:p>
        </w:tc>
        <w:tc>
          <w:tcPr>
            <w:tcW w:w="3908" w:type="dxa"/>
          </w:tcPr>
          <w:p w14:paraId="498E2638" w14:textId="2A54D5AF" w:rsidR="0014681A" w:rsidRPr="00EB5468" w:rsidRDefault="002913EC" w:rsidP="00B70DD0">
            <w:pPr>
              <w:spacing w:line="240" w:lineRule="auto"/>
              <w:ind w:firstLine="0"/>
            </w:pPr>
            <w:r>
              <w:rPr>
                <w:b/>
                <w:color w:val="FF0000"/>
              </w:rPr>
              <w:t>Neatsižvelgta</w:t>
            </w:r>
            <w:r w:rsidR="00EB5468" w:rsidRPr="006B2F08">
              <w:rPr>
                <w:b/>
                <w:color w:val="FF0000"/>
              </w:rPr>
              <w:t>,</w:t>
            </w:r>
            <w:r w:rsidR="00EB5468" w:rsidRPr="006B2F08">
              <w:rPr>
                <w:color w:val="FF0000"/>
              </w:rPr>
              <w:t xml:space="preserve"> </w:t>
            </w:r>
            <w:r w:rsidR="00EB5468">
              <w:t xml:space="preserve">nes institucijos neplanuoja </w:t>
            </w:r>
            <w:r w:rsidR="00EB5468" w:rsidRPr="00B71DB1">
              <w:t xml:space="preserve"> tikslinti statybos rūšis reglamentuojančias naujo statinio staty</w:t>
            </w:r>
            <w:r w:rsidR="00EB5468">
              <w:t>bos ir rekonstrukcijos sąvokas nėra pagrindo, tačiau nepateikia argumentų, pagrindžiančių šį teiginį. Nenurodė ir alt</w:t>
            </w:r>
            <w:r w:rsidR="002255AD">
              <w:t>e</w:t>
            </w:r>
            <w:r w:rsidR="00EB5468">
              <w:t xml:space="preserve">rnatyvų, tinkamai ribojančių </w:t>
            </w:r>
            <w:r w:rsidR="00EB5468" w:rsidRPr="00B71DB1">
              <w:rPr>
                <w:i/>
              </w:rPr>
              <w:t xml:space="preserve"> </w:t>
            </w:r>
            <w:r w:rsidR="00EB5468" w:rsidRPr="00EB5468">
              <w:t>naują statybą</w:t>
            </w:r>
            <w:r w:rsidR="00EB5468">
              <w:t>,</w:t>
            </w:r>
            <w:r w:rsidR="00EB5468" w:rsidRPr="00EB5468">
              <w:t xml:space="preserve"> ypatingai saugomoje kultūros paveldo teritorijoje.</w:t>
            </w:r>
          </w:p>
          <w:p w14:paraId="560A4C6B" w14:textId="139674A4" w:rsidR="00EB5468" w:rsidRPr="005F4880" w:rsidRDefault="00EB5468" w:rsidP="00B70DD0">
            <w:pPr>
              <w:spacing w:line="240" w:lineRule="auto"/>
              <w:ind w:firstLine="0"/>
            </w:pPr>
            <w:r>
              <w:t xml:space="preserve">Manytina, kad korupcijos rizikos </w:t>
            </w:r>
            <w:r w:rsidR="002255AD">
              <w:t>a</w:t>
            </w:r>
            <w:r>
              <w:t xml:space="preserve">nalizės išvadoje nurodomi korupcijos rizikos veiksniai yra aktualūs ir taisytini, todėl atsižvelgiant į minimoje išvadoje pateiktus argumentus, siūlytina dėl pasiūlymų svarstyti pakartotinai. </w:t>
            </w:r>
          </w:p>
        </w:tc>
      </w:tr>
    </w:tbl>
    <w:p w14:paraId="589F4983" w14:textId="1A344630" w:rsidR="00D209BC" w:rsidRPr="00011272" w:rsidRDefault="00D209BC" w:rsidP="000F1523">
      <w:pPr>
        <w:ind w:firstLine="0"/>
        <w:jc w:val="center"/>
      </w:pPr>
    </w:p>
    <w:sectPr w:rsidR="00D209BC" w:rsidRPr="00011272" w:rsidSect="00BD0CA5">
      <w:headerReference w:type="default" r:id="rId8"/>
      <w:footerReference w:type="default" r:id="rId9"/>
      <w:headerReference w:type="first" r:id="rId10"/>
      <w:pgSz w:w="16838" w:h="11906" w:orient="landscape" w:code="9"/>
      <w:pgMar w:top="1" w:right="1134" w:bottom="284" w:left="1134" w:header="3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1D771" w14:textId="77777777" w:rsidR="00F700E1" w:rsidRDefault="00F700E1" w:rsidP="00C3194B">
      <w:pPr>
        <w:spacing w:line="240" w:lineRule="auto"/>
      </w:pPr>
      <w:r>
        <w:separator/>
      </w:r>
    </w:p>
  </w:endnote>
  <w:endnote w:type="continuationSeparator" w:id="0">
    <w:p w14:paraId="36852AE9" w14:textId="77777777" w:rsidR="00F700E1" w:rsidRDefault="00F700E1" w:rsidP="00C3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DC77" w14:textId="77777777" w:rsidR="00D15E16" w:rsidRDefault="00D15E16" w:rsidP="00C02A3B">
    <w:pPr>
      <w:pStyle w:val="Porat"/>
    </w:pPr>
  </w:p>
  <w:p w14:paraId="3188A244" w14:textId="77777777" w:rsidR="00D15E16" w:rsidRDefault="00D15E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368A8" w14:textId="77777777" w:rsidR="00F700E1" w:rsidRDefault="00F700E1" w:rsidP="00C3194B">
      <w:pPr>
        <w:spacing w:line="240" w:lineRule="auto"/>
      </w:pPr>
      <w:r>
        <w:separator/>
      </w:r>
    </w:p>
  </w:footnote>
  <w:footnote w:type="continuationSeparator" w:id="0">
    <w:p w14:paraId="309BCE81" w14:textId="77777777" w:rsidR="00F700E1" w:rsidRDefault="00F700E1" w:rsidP="00C31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080145"/>
      <w:docPartObj>
        <w:docPartGallery w:val="Page Numbers (Top of Page)"/>
        <w:docPartUnique/>
      </w:docPartObj>
    </w:sdtPr>
    <w:sdtEndPr/>
    <w:sdtContent>
      <w:p w14:paraId="354DF978" w14:textId="02C59C63" w:rsidR="00522585" w:rsidRDefault="00522585">
        <w:pPr>
          <w:pStyle w:val="Antrats"/>
          <w:jc w:val="center"/>
        </w:pPr>
        <w:r>
          <w:fldChar w:fldCharType="begin"/>
        </w:r>
        <w:r>
          <w:instrText>PAGE   \* MERGEFORMAT</w:instrText>
        </w:r>
        <w:r>
          <w:fldChar w:fldCharType="separate"/>
        </w:r>
        <w:r w:rsidR="00CD6EB1">
          <w:rPr>
            <w:noProof/>
          </w:rPr>
          <w:t>7</w:t>
        </w:r>
        <w:r>
          <w:fldChar w:fldCharType="end"/>
        </w:r>
      </w:p>
    </w:sdtContent>
  </w:sdt>
  <w:p w14:paraId="250DD38F" w14:textId="3CAE8E73" w:rsidR="00522585" w:rsidRPr="00522585" w:rsidRDefault="00522585" w:rsidP="005225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4D82" w14:textId="11396507" w:rsidR="00D15E16" w:rsidRDefault="00D15E16">
    <w:pPr>
      <w:pStyle w:val="Antrats"/>
      <w:jc w:val="center"/>
    </w:pPr>
    <w: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E1F"/>
    <w:multiLevelType w:val="hybridMultilevel"/>
    <w:tmpl w:val="5A7016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41B2323"/>
    <w:multiLevelType w:val="hybridMultilevel"/>
    <w:tmpl w:val="039270B4"/>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240380"/>
    <w:multiLevelType w:val="hybridMultilevel"/>
    <w:tmpl w:val="8D4E6D5E"/>
    <w:lvl w:ilvl="0" w:tplc="42FC296C">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CF673A7"/>
    <w:multiLevelType w:val="multilevel"/>
    <w:tmpl w:val="569C0602"/>
    <w:lvl w:ilvl="0">
      <w:start w:val="5"/>
      <w:numFmt w:val="decimal"/>
      <w:lvlText w:val="%1."/>
      <w:lvlJc w:val="left"/>
      <w:pPr>
        <w:ind w:left="36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i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nsid w:val="0DF70063"/>
    <w:multiLevelType w:val="multilevel"/>
    <w:tmpl w:val="9D6E20F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1E30465D"/>
    <w:multiLevelType w:val="hybridMultilevel"/>
    <w:tmpl w:val="FE06D61A"/>
    <w:lvl w:ilvl="0" w:tplc="E556C966">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A477C58"/>
    <w:multiLevelType w:val="hybridMultilevel"/>
    <w:tmpl w:val="12828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32110F1"/>
    <w:multiLevelType w:val="hybridMultilevel"/>
    <w:tmpl w:val="1B96C78E"/>
    <w:lvl w:ilvl="0" w:tplc="BA8069D6">
      <w:start w:val="1"/>
      <w:numFmt w:val="decimal"/>
      <w:lvlText w:val="%1."/>
      <w:lvlJc w:val="left"/>
      <w:pPr>
        <w:ind w:left="2346" w:hanging="360"/>
      </w:pPr>
      <w:rPr>
        <w:rFonts w:hint="default"/>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nsid w:val="492D7B28"/>
    <w:multiLevelType w:val="hybridMultilevel"/>
    <w:tmpl w:val="D8189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C7160D1"/>
    <w:multiLevelType w:val="hybridMultilevel"/>
    <w:tmpl w:val="A608F56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6224DD"/>
    <w:multiLevelType w:val="hybridMultilevel"/>
    <w:tmpl w:val="0C78A91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FC04A05"/>
    <w:multiLevelType w:val="hybridMultilevel"/>
    <w:tmpl w:val="AF7E2856"/>
    <w:lvl w:ilvl="0" w:tplc="F238D3D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50A460D3"/>
    <w:multiLevelType w:val="multilevel"/>
    <w:tmpl w:val="DAE87B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43C50D6"/>
    <w:multiLevelType w:val="hybridMultilevel"/>
    <w:tmpl w:val="26A257DA"/>
    <w:lvl w:ilvl="0" w:tplc="E5707EB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62035338"/>
    <w:multiLevelType w:val="hybridMultilevel"/>
    <w:tmpl w:val="F6FE2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A055E4D"/>
    <w:multiLevelType w:val="hybridMultilevel"/>
    <w:tmpl w:val="48FE8E1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9"/>
  </w:num>
  <w:num w:numId="4">
    <w:abstractNumId w:val="1"/>
  </w:num>
  <w:num w:numId="5">
    <w:abstractNumId w:val="3"/>
  </w:num>
  <w:num w:numId="6">
    <w:abstractNumId w:val="4"/>
  </w:num>
  <w:num w:numId="7">
    <w:abstractNumId w:val="12"/>
  </w:num>
  <w:num w:numId="8">
    <w:abstractNumId w:val="8"/>
  </w:num>
  <w:num w:numId="9">
    <w:abstractNumId w:val="7"/>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E9"/>
    <w:rsid w:val="00001B88"/>
    <w:rsid w:val="000024EA"/>
    <w:rsid w:val="00002D4C"/>
    <w:rsid w:val="000108D9"/>
    <w:rsid w:val="00010CFF"/>
    <w:rsid w:val="00011272"/>
    <w:rsid w:val="00014279"/>
    <w:rsid w:val="0001521C"/>
    <w:rsid w:val="00017127"/>
    <w:rsid w:val="000175C8"/>
    <w:rsid w:val="000207A9"/>
    <w:rsid w:val="00021616"/>
    <w:rsid w:val="00022AAD"/>
    <w:rsid w:val="00024339"/>
    <w:rsid w:val="0002436B"/>
    <w:rsid w:val="00026031"/>
    <w:rsid w:val="00027C35"/>
    <w:rsid w:val="0003125D"/>
    <w:rsid w:val="00031316"/>
    <w:rsid w:val="00032787"/>
    <w:rsid w:val="00033381"/>
    <w:rsid w:val="00034E93"/>
    <w:rsid w:val="00035CB0"/>
    <w:rsid w:val="0003603C"/>
    <w:rsid w:val="00040223"/>
    <w:rsid w:val="000434D1"/>
    <w:rsid w:val="000472F5"/>
    <w:rsid w:val="00047FB0"/>
    <w:rsid w:val="00053506"/>
    <w:rsid w:val="00054FD6"/>
    <w:rsid w:val="00056EE9"/>
    <w:rsid w:val="000574CE"/>
    <w:rsid w:val="00057E63"/>
    <w:rsid w:val="000631F6"/>
    <w:rsid w:val="0006453E"/>
    <w:rsid w:val="0006479A"/>
    <w:rsid w:val="000714DE"/>
    <w:rsid w:val="00071E06"/>
    <w:rsid w:val="00085045"/>
    <w:rsid w:val="00087289"/>
    <w:rsid w:val="00092730"/>
    <w:rsid w:val="000946B9"/>
    <w:rsid w:val="00095B25"/>
    <w:rsid w:val="00095B70"/>
    <w:rsid w:val="00095CF8"/>
    <w:rsid w:val="00095DEF"/>
    <w:rsid w:val="000A0A41"/>
    <w:rsid w:val="000A3545"/>
    <w:rsid w:val="000A38FC"/>
    <w:rsid w:val="000A42AA"/>
    <w:rsid w:val="000A56CB"/>
    <w:rsid w:val="000A6A67"/>
    <w:rsid w:val="000A712D"/>
    <w:rsid w:val="000B05AB"/>
    <w:rsid w:val="000B34EB"/>
    <w:rsid w:val="000B4916"/>
    <w:rsid w:val="000C0D06"/>
    <w:rsid w:val="000C0D70"/>
    <w:rsid w:val="000C1C1F"/>
    <w:rsid w:val="000C1D53"/>
    <w:rsid w:val="000C2100"/>
    <w:rsid w:val="000C2295"/>
    <w:rsid w:val="000C2916"/>
    <w:rsid w:val="000C2C60"/>
    <w:rsid w:val="000C6F5F"/>
    <w:rsid w:val="000D1A32"/>
    <w:rsid w:val="000D1B1D"/>
    <w:rsid w:val="000D2318"/>
    <w:rsid w:val="000D7062"/>
    <w:rsid w:val="000D72A5"/>
    <w:rsid w:val="000E137C"/>
    <w:rsid w:val="000E75C1"/>
    <w:rsid w:val="000F0763"/>
    <w:rsid w:val="000F1523"/>
    <w:rsid w:val="000F183A"/>
    <w:rsid w:val="000F2E30"/>
    <w:rsid w:val="000F3B00"/>
    <w:rsid w:val="000F5485"/>
    <w:rsid w:val="000F6353"/>
    <w:rsid w:val="000F7D38"/>
    <w:rsid w:val="00101ACA"/>
    <w:rsid w:val="00102A6D"/>
    <w:rsid w:val="001071B1"/>
    <w:rsid w:val="00107838"/>
    <w:rsid w:val="00112387"/>
    <w:rsid w:val="00116476"/>
    <w:rsid w:val="00120B08"/>
    <w:rsid w:val="00120B3A"/>
    <w:rsid w:val="00124829"/>
    <w:rsid w:val="0012612C"/>
    <w:rsid w:val="00131491"/>
    <w:rsid w:val="00133A18"/>
    <w:rsid w:val="00133C5C"/>
    <w:rsid w:val="00133D26"/>
    <w:rsid w:val="00133F2D"/>
    <w:rsid w:val="0014035E"/>
    <w:rsid w:val="0014681A"/>
    <w:rsid w:val="001469B6"/>
    <w:rsid w:val="001512E7"/>
    <w:rsid w:val="00154221"/>
    <w:rsid w:val="0015474E"/>
    <w:rsid w:val="0015632A"/>
    <w:rsid w:val="00156A88"/>
    <w:rsid w:val="00156AE0"/>
    <w:rsid w:val="00163F12"/>
    <w:rsid w:val="00164034"/>
    <w:rsid w:val="0016455F"/>
    <w:rsid w:val="0016511F"/>
    <w:rsid w:val="00170451"/>
    <w:rsid w:val="001729B8"/>
    <w:rsid w:val="0017419C"/>
    <w:rsid w:val="00174C9C"/>
    <w:rsid w:val="00174D5A"/>
    <w:rsid w:val="00177859"/>
    <w:rsid w:val="00177AC1"/>
    <w:rsid w:val="001803D2"/>
    <w:rsid w:val="0018126A"/>
    <w:rsid w:val="00192766"/>
    <w:rsid w:val="00192BA0"/>
    <w:rsid w:val="00192DCB"/>
    <w:rsid w:val="00193D43"/>
    <w:rsid w:val="001A0046"/>
    <w:rsid w:val="001A1D4E"/>
    <w:rsid w:val="001A3811"/>
    <w:rsid w:val="001A4524"/>
    <w:rsid w:val="001A678B"/>
    <w:rsid w:val="001A6945"/>
    <w:rsid w:val="001A750F"/>
    <w:rsid w:val="001B0057"/>
    <w:rsid w:val="001B3995"/>
    <w:rsid w:val="001B56FC"/>
    <w:rsid w:val="001B58A0"/>
    <w:rsid w:val="001B5D42"/>
    <w:rsid w:val="001B608E"/>
    <w:rsid w:val="001B7EB6"/>
    <w:rsid w:val="001C2C62"/>
    <w:rsid w:val="001C34C6"/>
    <w:rsid w:val="001C530F"/>
    <w:rsid w:val="001C63D1"/>
    <w:rsid w:val="001C75BB"/>
    <w:rsid w:val="001C77D2"/>
    <w:rsid w:val="001D22D4"/>
    <w:rsid w:val="001D580B"/>
    <w:rsid w:val="001D65AE"/>
    <w:rsid w:val="001D7C49"/>
    <w:rsid w:val="001E2463"/>
    <w:rsid w:val="001E249C"/>
    <w:rsid w:val="001E2D7A"/>
    <w:rsid w:val="001E4E42"/>
    <w:rsid w:val="001E7E99"/>
    <w:rsid w:val="001F022C"/>
    <w:rsid w:val="001F0C0C"/>
    <w:rsid w:val="001F2005"/>
    <w:rsid w:val="001F2521"/>
    <w:rsid w:val="001F67AF"/>
    <w:rsid w:val="001F788B"/>
    <w:rsid w:val="0020135B"/>
    <w:rsid w:val="00204683"/>
    <w:rsid w:val="00205725"/>
    <w:rsid w:val="00205F3B"/>
    <w:rsid w:val="002068EB"/>
    <w:rsid w:val="002108A6"/>
    <w:rsid w:val="00210BB5"/>
    <w:rsid w:val="002112F9"/>
    <w:rsid w:val="00214428"/>
    <w:rsid w:val="00215596"/>
    <w:rsid w:val="002166E6"/>
    <w:rsid w:val="0021684E"/>
    <w:rsid w:val="00217E9F"/>
    <w:rsid w:val="002206F9"/>
    <w:rsid w:val="002207F8"/>
    <w:rsid w:val="00220A34"/>
    <w:rsid w:val="00221796"/>
    <w:rsid w:val="00221824"/>
    <w:rsid w:val="00223721"/>
    <w:rsid w:val="002255AD"/>
    <w:rsid w:val="002265A2"/>
    <w:rsid w:val="00226A06"/>
    <w:rsid w:val="00227F13"/>
    <w:rsid w:val="002301AB"/>
    <w:rsid w:val="00232DA1"/>
    <w:rsid w:val="002347A3"/>
    <w:rsid w:val="0023762D"/>
    <w:rsid w:val="00240860"/>
    <w:rsid w:val="002409EB"/>
    <w:rsid w:val="00242498"/>
    <w:rsid w:val="002446EB"/>
    <w:rsid w:val="00245C8B"/>
    <w:rsid w:val="002478A3"/>
    <w:rsid w:val="00252207"/>
    <w:rsid w:val="00252E55"/>
    <w:rsid w:val="00252FF0"/>
    <w:rsid w:val="00254056"/>
    <w:rsid w:val="00257A71"/>
    <w:rsid w:val="002627A9"/>
    <w:rsid w:val="00264C94"/>
    <w:rsid w:val="00267B6C"/>
    <w:rsid w:val="002702F1"/>
    <w:rsid w:val="00270ABC"/>
    <w:rsid w:val="00272949"/>
    <w:rsid w:val="00273B54"/>
    <w:rsid w:val="00276CA4"/>
    <w:rsid w:val="00280A29"/>
    <w:rsid w:val="00281CFA"/>
    <w:rsid w:val="0028265F"/>
    <w:rsid w:val="002835A7"/>
    <w:rsid w:val="002848B2"/>
    <w:rsid w:val="0028495D"/>
    <w:rsid w:val="0028544C"/>
    <w:rsid w:val="0028593D"/>
    <w:rsid w:val="00285B47"/>
    <w:rsid w:val="00285CEB"/>
    <w:rsid w:val="00285F71"/>
    <w:rsid w:val="0028749C"/>
    <w:rsid w:val="0029001B"/>
    <w:rsid w:val="0029078A"/>
    <w:rsid w:val="002913EC"/>
    <w:rsid w:val="00292259"/>
    <w:rsid w:val="00292A46"/>
    <w:rsid w:val="0029463A"/>
    <w:rsid w:val="002947FF"/>
    <w:rsid w:val="00297871"/>
    <w:rsid w:val="002A179A"/>
    <w:rsid w:val="002A19B1"/>
    <w:rsid w:val="002A44E1"/>
    <w:rsid w:val="002A4FF7"/>
    <w:rsid w:val="002A61DC"/>
    <w:rsid w:val="002A75AD"/>
    <w:rsid w:val="002B2EFF"/>
    <w:rsid w:val="002B3103"/>
    <w:rsid w:val="002B4E87"/>
    <w:rsid w:val="002B6832"/>
    <w:rsid w:val="002B6EDD"/>
    <w:rsid w:val="002C33F5"/>
    <w:rsid w:val="002C43DE"/>
    <w:rsid w:val="002D0415"/>
    <w:rsid w:val="002D7736"/>
    <w:rsid w:val="002E34CC"/>
    <w:rsid w:val="002E4A05"/>
    <w:rsid w:val="002F0DA3"/>
    <w:rsid w:val="002F6927"/>
    <w:rsid w:val="002F6CB6"/>
    <w:rsid w:val="002F7AA3"/>
    <w:rsid w:val="002F7CAE"/>
    <w:rsid w:val="00301732"/>
    <w:rsid w:val="00301F65"/>
    <w:rsid w:val="00305746"/>
    <w:rsid w:val="00307B49"/>
    <w:rsid w:val="00313F58"/>
    <w:rsid w:val="003140AD"/>
    <w:rsid w:val="00317985"/>
    <w:rsid w:val="003204B8"/>
    <w:rsid w:val="0032299A"/>
    <w:rsid w:val="00322EB1"/>
    <w:rsid w:val="00323B24"/>
    <w:rsid w:val="003249F7"/>
    <w:rsid w:val="003310CA"/>
    <w:rsid w:val="0033344C"/>
    <w:rsid w:val="0033347E"/>
    <w:rsid w:val="00333488"/>
    <w:rsid w:val="00336CF0"/>
    <w:rsid w:val="003371F6"/>
    <w:rsid w:val="00337742"/>
    <w:rsid w:val="00337D51"/>
    <w:rsid w:val="00340FBE"/>
    <w:rsid w:val="00344900"/>
    <w:rsid w:val="00350C55"/>
    <w:rsid w:val="003515E2"/>
    <w:rsid w:val="0035189A"/>
    <w:rsid w:val="00353F4A"/>
    <w:rsid w:val="0035418C"/>
    <w:rsid w:val="003558CE"/>
    <w:rsid w:val="003565A2"/>
    <w:rsid w:val="00357955"/>
    <w:rsid w:val="003624AD"/>
    <w:rsid w:val="003629CA"/>
    <w:rsid w:val="00366696"/>
    <w:rsid w:val="00370C05"/>
    <w:rsid w:val="00371029"/>
    <w:rsid w:val="003718B2"/>
    <w:rsid w:val="0037252C"/>
    <w:rsid w:val="00372E68"/>
    <w:rsid w:val="0037339C"/>
    <w:rsid w:val="00373BF9"/>
    <w:rsid w:val="00376554"/>
    <w:rsid w:val="003765F8"/>
    <w:rsid w:val="00376AC0"/>
    <w:rsid w:val="00376C7E"/>
    <w:rsid w:val="00380537"/>
    <w:rsid w:val="00380950"/>
    <w:rsid w:val="0038140E"/>
    <w:rsid w:val="00381A4D"/>
    <w:rsid w:val="003829D0"/>
    <w:rsid w:val="00383086"/>
    <w:rsid w:val="00383A8C"/>
    <w:rsid w:val="00384A10"/>
    <w:rsid w:val="00386529"/>
    <w:rsid w:val="00390BC1"/>
    <w:rsid w:val="00391FB8"/>
    <w:rsid w:val="00395D08"/>
    <w:rsid w:val="003A0865"/>
    <w:rsid w:val="003A1D8F"/>
    <w:rsid w:val="003A26A9"/>
    <w:rsid w:val="003A7547"/>
    <w:rsid w:val="003B2B9F"/>
    <w:rsid w:val="003B5B72"/>
    <w:rsid w:val="003B5F08"/>
    <w:rsid w:val="003B6CE4"/>
    <w:rsid w:val="003C0442"/>
    <w:rsid w:val="003C0BB9"/>
    <w:rsid w:val="003C2B70"/>
    <w:rsid w:val="003C3029"/>
    <w:rsid w:val="003C40AC"/>
    <w:rsid w:val="003C491C"/>
    <w:rsid w:val="003C5E4C"/>
    <w:rsid w:val="003D0368"/>
    <w:rsid w:val="003D373C"/>
    <w:rsid w:val="003D6BFA"/>
    <w:rsid w:val="003D739C"/>
    <w:rsid w:val="003D7C6A"/>
    <w:rsid w:val="003E188F"/>
    <w:rsid w:val="003E1DD3"/>
    <w:rsid w:val="003E27C2"/>
    <w:rsid w:val="003E7856"/>
    <w:rsid w:val="003F0BF9"/>
    <w:rsid w:val="003F1528"/>
    <w:rsid w:val="003F274C"/>
    <w:rsid w:val="003F3260"/>
    <w:rsid w:val="003F355C"/>
    <w:rsid w:val="003F4E37"/>
    <w:rsid w:val="003F57C6"/>
    <w:rsid w:val="003F7727"/>
    <w:rsid w:val="00400583"/>
    <w:rsid w:val="00402EF3"/>
    <w:rsid w:val="004058B8"/>
    <w:rsid w:val="00406647"/>
    <w:rsid w:val="00406B44"/>
    <w:rsid w:val="00407FE7"/>
    <w:rsid w:val="0041011C"/>
    <w:rsid w:val="004105F1"/>
    <w:rsid w:val="00410B83"/>
    <w:rsid w:val="0041263F"/>
    <w:rsid w:val="004130DD"/>
    <w:rsid w:val="00415253"/>
    <w:rsid w:val="0041759F"/>
    <w:rsid w:val="0041788E"/>
    <w:rsid w:val="00420DC0"/>
    <w:rsid w:val="0042448B"/>
    <w:rsid w:val="00424A59"/>
    <w:rsid w:val="00425919"/>
    <w:rsid w:val="004274C9"/>
    <w:rsid w:val="004308F7"/>
    <w:rsid w:val="00430E8E"/>
    <w:rsid w:val="004313EB"/>
    <w:rsid w:val="004325E1"/>
    <w:rsid w:val="00433946"/>
    <w:rsid w:val="00433B56"/>
    <w:rsid w:val="00436119"/>
    <w:rsid w:val="0043634B"/>
    <w:rsid w:val="00436C89"/>
    <w:rsid w:val="0043788D"/>
    <w:rsid w:val="00440406"/>
    <w:rsid w:val="004409F2"/>
    <w:rsid w:val="00444A1F"/>
    <w:rsid w:val="00445B67"/>
    <w:rsid w:val="004547FD"/>
    <w:rsid w:val="004564FB"/>
    <w:rsid w:val="004568D9"/>
    <w:rsid w:val="00457104"/>
    <w:rsid w:val="004577DE"/>
    <w:rsid w:val="00457967"/>
    <w:rsid w:val="00461110"/>
    <w:rsid w:val="004618B1"/>
    <w:rsid w:val="00462EF0"/>
    <w:rsid w:val="00462EFA"/>
    <w:rsid w:val="00463A9E"/>
    <w:rsid w:val="00464440"/>
    <w:rsid w:val="004754A7"/>
    <w:rsid w:val="00477516"/>
    <w:rsid w:val="00477DD2"/>
    <w:rsid w:val="00481CBC"/>
    <w:rsid w:val="00483A12"/>
    <w:rsid w:val="00484E93"/>
    <w:rsid w:val="00485127"/>
    <w:rsid w:val="00492334"/>
    <w:rsid w:val="004929C5"/>
    <w:rsid w:val="00492F34"/>
    <w:rsid w:val="00493052"/>
    <w:rsid w:val="004A0ED8"/>
    <w:rsid w:val="004A35FF"/>
    <w:rsid w:val="004A3E44"/>
    <w:rsid w:val="004A793D"/>
    <w:rsid w:val="004A7A64"/>
    <w:rsid w:val="004B2419"/>
    <w:rsid w:val="004B272D"/>
    <w:rsid w:val="004B686B"/>
    <w:rsid w:val="004B7674"/>
    <w:rsid w:val="004B7713"/>
    <w:rsid w:val="004C22D0"/>
    <w:rsid w:val="004C2BD5"/>
    <w:rsid w:val="004C5B09"/>
    <w:rsid w:val="004C6C01"/>
    <w:rsid w:val="004C74A9"/>
    <w:rsid w:val="004C78DB"/>
    <w:rsid w:val="004D0B70"/>
    <w:rsid w:val="004D1051"/>
    <w:rsid w:val="004D15D6"/>
    <w:rsid w:val="004D1EFC"/>
    <w:rsid w:val="004D27B7"/>
    <w:rsid w:val="004D2A77"/>
    <w:rsid w:val="004D4B2E"/>
    <w:rsid w:val="004D6D51"/>
    <w:rsid w:val="004D7D00"/>
    <w:rsid w:val="004E0756"/>
    <w:rsid w:val="004E0A4F"/>
    <w:rsid w:val="004E0A99"/>
    <w:rsid w:val="004E0E24"/>
    <w:rsid w:val="004E5164"/>
    <w:rsid w:val="004E5FC2"/>
    <w:rsid w:val="004E6735"/>
    <w:rsid w:val="004E6F96"/>
    <w:rsid w:val="004E7390"/>
    <w:rsid w:val="004E77F7"/>
    <w:rsid w:val="004F147C"/>
    <w:rsid w:val="004F15FE"/>
    <w:rsid w:val="004F2F05"/>
    <w:rsid w:val="004F3008"/>
    <w:rsid w:val="004F747C"/>
    <w:rsid w:val="00500285"/>
    <w:rsid w:val="00501AB0"/>
    <w:rsid w:val="00501F45"/>
    <w:rsid w:val="00502103"/>
    <w:rsid w:val="005062C3"/>
    <w:rsid w:val="00506786"/>
    <w:rsid w:val="00506972"/>
    <w:rsid w:val="005114C3"/>
    <w:rsid w:val="00513CF3"/>
    <w:rsid w:val="0051534D"/>
    <w:rsid w:val="00516681"/>
    <w:rsid w:val="00516F9B"/>
    <w:rsid w:val="00520F14"/>
    <w:rsid w:val="00522585"/>
    <w:rsid w:val="005233B2"/>
    <w:rsid w:val="005256C8"/>
    <w:rsid w:val="00531200"/>
    <w:rsid w:val="00532AF0"/>
    <w:rsid w:val="00532DC9"/>
    <w:rsid w:val="00536CCB"/>
    <w:rsid w:val="0054207B"/>
    <w:rsid w:val="0055133A"/>
    <w:rsid w:val="00551843"/>
    <w:rsid w:val="00551916"/>
    <w:rsid w:val="005520F0"/>
    <w:rsid w:val="005525AC"/>
    <w:rsid w:val="0055442E"/>
    <w:rsid w:val="005548FB"/>
    <w:rsid w:val="00556913"/>
    <w:rsid w:val="00557807"/>
    <w:rsid w:val="005579D8"/>
    <w:rsid w:val="00561100"/>
    <w:rsid w:val="0056308E"/>
    <w:rsid w:val="005641E5"/>
    <w:rsid w:val="005708B9"/>
    <w:rsid w:val="00574021"/>
    <w:rsid w:val="00576DED"/>
    <w:rsid w:val="00577348"/>
    <w:rsid w:val="00583BD9"/>
    <w:rsid w:val="005869F7"/>
    <w:rsid w:val="00587029"/>
    <w:rsid w:val="005911C4"/>
    <w:rsid w:val="0059148F"/>
    <w:rsid w:val="005922FA"/>
    <w:rsid w:val="00594C8C"/>
    <w:rsid w:val="00594CFA"/>
    <w:rsid w:val="00597575"/>
    <w:rsid w:val="005977CA"/>
    <w:rsid w:val="005A037A"/>
    <w:rsid w:val="005A1094"/>
    <w:rsid w:val="005A2A0D"/>
    <w:rsid w:val="005A2BF4"/>
    <w:rsid w:val="005A34F5"/>
    <w:rsid w:val="005A3671"/>
    <w:rsid w:val="005B07A6"/>
    <w:rsid w:val="005B0E5E"/>
    <w:rsid w:val="005B21CB"/>
    <w:rsid w:val="005B2F17"/>
    <w:rsid w:val="005B5F74"/>
    <w:rsid w:val="005B6584"/>
    <w:rsid w:val="005B6DC8"/>
    <w:rsid w:val="005B7DAF"/>
    <w:rsid w:val="005C0BBB"/>
    <w:rsid w:val="005C2BBB"/>
    <w:rsid w:val="005C4A45"/>
    <w:rsid w:val="005C4C20"/>
    <w:rsid w:val="005C5459"/>
    <w:rsid w:val="005C6B18"/>
    <w:rsid w:val="005D0891"/>
    <w:rsid w:val="005D0D0F"/>
    <w:rsid w:val="005D1A9A"/>
    <w:rsid w:val="005D2398"/>
    <w:rsid w:val="005D2E97"/>
    <w:rsid w:val="005D33B9"/>
    <w:rsid w:val="005D349D"/>
    <w:rsid w:val="005D4684"/>
    <w:rsid w:val="005D4C37"/>
    <w:rsid w:val="005D5D01"/>
    <w:rsid w:val="005E1CE2"/>
    <w:rsid w:val="005E3B2E"/>
    <w:rsid w:val="005E3D63"/>
    <w:rsid w:val="005E59E6"/>
    <w:rsid w:val="005E6358"/>
    <w:rsid w:val="005E6B5B"/>
    <w:rsid w:val="005F1206"/>
    <w:rsid w:val="005F4880"/>
    <w:rsid w:val="005F6257"/>
    <w:rsid w:val="005F7DAE"/>
    <w:rsid w:val="00606567"/>
    <w:rsid w:val="0061019F"/>
    <w:rsid w:val="006115C7"/>
    <w:rsid w:val="00613A55"/>
    <w:rsid w:val="00615C87"/>
    <w:rsid w:val="00616C4F"/>
    <w:rsid w:val="00621050"/>
    <w:rsid w:val="0062419E"/>
    <w:rsid w:val="006245FE"/>
    <w:rsid w:val="00626045"/>
    <w:rsid w:val="00626C74"/>
    <w:rsid w:val="00627804"/>
    <w:rsid w:val="006313C9"/>
    <w:rsid w:val="00632EDE"/>
    <w:rsid w:val="00633511"/>
    <w:rsid w:val="00633892"/>
    <w:rsid w:val="00634006"/>
    <w:rsid w:val="0063544A"/>
    <w:rsid w:val="00642807"/>
    <w:rsid w:val="00643377"/>
    <w:rsid w:val="00644A1B"/>
    <w:rsid w:val="00646354"/>
    <w:rsid w:val="00647536"/>
    <w:rsid w:val="006511A6"/>
    <w:rsid w:val="00651B08"/>
    <w:rsid w:val="006559DE"/>
    <w:rsid w:val="0065762A"/>
    <w:rsid w:val="00660F28"/>
    <w:rsid w:val="00661920"/>
    <w:rsid w:val="00662008"/>
    <w:rsid w:val="00663B31"/>
    <w:rsid w:val="00664D7C"/>
    <w:rsid w:val="00667103"/>
    <w:rsid w:val="0067115D"/>
    <w:rsid w:val="00671EBF"/>
    <w:rsid w:val="00672034"/>
    <w:rsid w:val="00672D70"/>
    <w:rsid w:val="006801DD"/>
    <w:rsid w:val="00680B3A"/>
    <w:rsid w:val="006811E3"/>
    <w:rsid w:val="00682C7A"/>
    <w:rsid w:val="00682F05"/>
    <w:rsid w:val="006857F3"/>
    <w:rsid w:val="0068740C"/>
    <w:rsid w:val="00687506"/>
    <w:rsid w:val="0068788C"/>
    <w:rsid w:val="00691038"/>
    <w:rsid w:val="0069300E"/>
    <w:rsid w:val="006931E7"/>
    <w:rsid w:val="00694787"/>
    <w:rsid w:val="006A08BA"/>
    <w:rsid w:val="006A2CC1"/>
    <w:rsid w:val="006A3853"/>
    <w:rsid w:val="006A41D4"/>
    <w:rsid w:val="006A42FE"/>
    <w:rsid w:val="006A7A89"/>
    <w:rsid w:val="006B082E"/>
    <w:rsid w:val="006B13F6"/>
    <w:rsid w:val="006B1CDE"/>
    <w:rsid w:val="006B1E45"/>
    <w:rsid w:val="006B2F08"/>
    <w:rsid w:val="006B337E"/>
    <w:rsid w:val="006B4900"/>
    <w:rsid w:val="006B4A18"/>
    <w:rsid w:val="006B4FA3"/>
    <w:rsid w:val="006B7857"/>
    <w:rsid w:val="006C0BD8"/>
    <w:rsid w:val="006C0FC5"/>
    <w:rsid w:val="006C103E"/>
    <w:rsid w:val="006C18E4"/>
    <w:rsid w:val="006C3D18"/>
    <w:rsid w:val="006C5AC4"/>
    <w:rsid w:val="006C6EF4"/>
    <w:rsid w:val="006C75CE"/>
    <w:rsid w:val="006D0A5F"/>
    <w:rsid w:val="006D495B"/>
    <w:rsid w:val="006D5564"/>
    <w:rsid w:val="006D6B2A"/>
    <w:rsid w:val="006D6E27"/>
    <w:rsid w:val="006E0F8A"/>
    <w:rsid w:val="006E129B"/>
    <w:rsid w:val="006E1C8E"/>
    <w:rsid w:val="006E202A"/>
    <w:rsid w:val="006E3B3F"/>
    <w:rsid w:val="006E5A1D"/>
    <w:rsid w:val="006E7A70"/>
    <w:rsid w:val="006F3E20"/>
    <w:rsid w:val="006F4EA5"/>
    <w:rsid w:val="006F57B9"/>
    <w:rsid w:val="007024C3"/>
    <w:rsid w:val="00702AE2"/>
    <w:rsid w:val="00704C05"/>
    <w:rsid w:val="00707CD3"/>
    <w:rsid w:val="007110E6"/>
    <w:rsid w:val="00711377"/>
    <w:rsid w:val="00711EEB"/>
    <w:rsid w:val="007120A2"/>
    <w:rsid w:val="00714531"/>
    <w:rsid w:val="00715720"/>
    <w:rsid w:val="0071578A"/>
    <w:rsid w:val="0071645B"/>
    <w:rsid w:val="0071648A"/>
    <w:rsid w:val="007254C9"/>
    <w:rsid w:val="00725F0C"/>
    <w:rsid w:val="00727AD1"/>
    <w:rsid w:val="00727C32"/>
    <w:rsid w:val="00730302"/>
    <w:rsid w:val="00730DBE"/>
    <w:rsid w:val="00731057"/>
    <w:rsid w:val="0073140C"/>
    <w:rsid w:val="007364A5"/>
    <w:rsid w:val="007410AD"/>
    <w:rsid w:val="00742425"/>
    <w:rsid w:val="00745317"/>
    <w:rsid w:val="00747CC0"/>
    <w:rsid w:val="007525F0"/>
    <w:rsid w:val="00753CCC"/>
    <w:rsid w:val="007549A8"/>
    <w:rsid w:val="0076252C"/>
    <w:rsid w:val="007647D7"/>
    <w:rsid w:val="00765098"/>
    <w:rsid w:val="0076656B"/>
    <w:rsid w:val="00767915"/>
    <w:rsid w:val="00770025"/>
    <w:rsid w:val="007703A2"/>
    <w:rsid w:val="007724B9"/>
    <w:rsid w:val="00773462"/>
    <w:rsid w:val="007757D1"/>
    <w:rsid w:val="00775965"/>
    <w:rsid w:val="00783ED7"/>
    <w:rsid w:val="00784BDF"/>
    <w:rsid w:val="00784CD9"/>
    <w:rsid w:val="00784E0D"/>
    <w:rsid w:val="007865B7"/>
    <w:rsid w:val="007867F4"/>
    <w:rsid w:val="00787BC6"/>
    <w:rsid w:val="007916DF"/>
    <w:rsid w:val="00792BC5"/>
    <w:rsid w:val="0079511B"/>
    <w:rsid w:val="00795776"/>
    <w:rsid w:val="007965FA"/>
    <w:rsid w:val="00797CDC"/>
    <w:rsid w:val="007A1E49"/>
    <w:rsid w:val="007A2EB4"/>
    <w:rsid w:val="007A68E5"/>
    <w:rsid w:val="007A6DDF"/>
    <w:rsid w:val="007B10C1"/>
    <w:rsid w:val="007B2110"/>
    <w:rsid w:val="007B226D"/>
    <w:rsid w:val="007B2E56"/>
    <w:rsid w:val="007B445B"/>
    <w:rsid w:val="007B6E05"/>
    <w:rsid w:val="007B76B0"/>
    <w:rsid w:val="007C179F"/>
    <w:rsid w:val="007C2BB5"/>
    <w:rsid w:val="007C3B9C"/>
    <w:rsid w:val="007C3C83"/>
    <w:rsid w:val="007C6D09"/>
    <w:rsid w:val="007C7E30"/>
    <w:rsid w:val="007D1FBF"/>
    <w:rsid w:val="007D314C"/>
    <w:rsid w:val="007D5705"/>
    <w:rsid w:val="007D6446"/>
    <w:rsid w:val="007D66C1"/>
    <w:rsid w:val="007E50E5"/>
    <w:rsid w:val="007E6115"/>
    <w:rsid w:val="007E70D2"/>
    <w:rsid w:val="007F0046"/>
    <w:rsid w:val="007F1C5A"/>
    <w:rsid w:val="007F2854"/>
    <w:rsid w:val="007F4C4C"/>
    <w:rsid w:val="007F513B"/>
    <w:rsid w:val="007F575C"/>
    <w:rsid w:val="007F7086"/>
    <w:rsid w:val="007F7F36"/>
    <w:rsid w:val="00800699"/>
    <w:rsid w:val="00801591"/>
    <w:rsid w:val="00802394"/>
    <w:rsid w:val="00804B7B"/>
    <w:rsid w:val="008052D3"/>
    <w:rsid w:val="00807360"/>
    <w:rsid w:val="00813AB0"/>
    <w:rsid w:val="00815CD5"/>
    <w:rsid w:val="00817B20"/>
    <w:rsid w:val="008200D8"/>
    <w:rsid w:val="00821073"/>
    <w:rsid w:val="00821CCC"/>
    <w:rsid w:val="00822016"/>
    <w:rsid w:val="00832561"/>
    <w:rsid w:val="0083430D"/>
    <w:rsid w:val="008343A3"/>
    <w:rsid w:val="008365A6"/>
    <w:rsid w:val="00836673"/>
    <w:rsid w:val="008371F1"/>
    <w:rsid w:val="0083741C"/>
    <w:rsid w:val="00837A4D"/>
    <w:rsid w:val="00841D86"/>
    <w:rsid w:val="00842465"/>
    <w:rsid w:val="00842D12"/>
    <w:rsid w:val="00843478"/>
    <w:rsid w:val="008447D7"/>
    <w:rsid w:val="00844884"/>
    <w:rsid w:val="00847088"/>
    <w:rsid w:val="00847C5C"/>
    <w:rsid w:val="008564C4"/>
    <w:rsid w:val="00856761"/>
    <w:rsid w:val="00856B9D"/>
    <w:rsid w:val="0085744E"/>
    <w:rsid w:val="00861653"/>
    <w:rsid w:val="0086226F"/>
    <w:rsid w:val="0086406C"/>
    <w:rsid w:val="00865B2E"/>
    <w:rsid w:val="00870F97"/>
    <w:rsid w:val="00872FAF"/>
    <w:rsid w:val="0087323E"/>
    <w:rsid w:val="0087687B"/>
    <w:rsid w:val="0088002F"/>
    <w:rsid w:val="0088238B"/>
    <w:rsid w:val="008829E6"/>
    <w:rsid w:val="008838F3"/>
    <w:rsid w:val="008844DD"/>
    <w:rsid w:val="00884A2D"/>
    <w:rsid w:val="00884DC5"/>
    <w:rsid w:val="00885C77"/>
    <w:rsid w:val="00887249"/>
    <w:rsid w:val="00887400"/>
    <w:rsid w:val="0089257C"/>
    <w:rsid w:val="0089520D"/>
    <w:rsid w:val="0089686E"/>
    <w:rsid w:val="00897F32"/>
    <w:rsid w:val="008A0628"/>
    <w:rsid w:val="008A0841"/>
    <w:rsid w:val="008A2253"/>
    <w:rsid w:val="008A22BF"/>
    <w:rsid w:val="008A2E9C"/>
    <w:rsid w:val="008A48DF"/>
    <w:rsid w:val="008A7316"/>
    <w:rsid w:val="008B1845"/>
    <w:rsid w:val="008B6E36"/>
    <w:rsid w:val="008B7A59"/>
    <w:rsid w:val="008C1357"/>
    <w:rsid w:val="008C1D4B"/>
    <w:rsid w:val="008C215B"/>
    <w:rsid w:val="008C32C2"/>
    <w:rsid w:val="008C36DC"/>
    <w:rsid w:val="008C6C0C"/>
    <w:rsid w:val="008C7D5B"/>
    <w:rsid w:val="008D070F"/>
    <w:rsid w:val="008D48E0"/>
    <w:rsid w:val="008D63E5"/>
    <w:rsid w:val="008D6BB1"/>
    <w:rsid w:val="008E203D"/>
    <w:rsid w:val="008E48B9"/>
    <w:rsid w:val="008E5856"/>
    <w:rsid w:val="008F2E2C"/>
    <w:rsid w:val="008F3C6B"/>
    <w:rsid w:val="008F5CBC"/>
    <w:rsid w:val="008F6205"/>
    <w:rsid w:val="009001E4"/>
    <w:rsid w:val="00900A35"/>
    <w:rsid w:val="00900E3F"/>
    <w:rsid w:val="00904DB7"/>
    <w:rsid w:val="009055AE"/>
    <w:rsid w:val="00905A53"/>
    <w:rsid w:val="00907006"/>
    <w:rsid w:val="00911C04"/>
    <w:rsid w:val="00913377"/>
    <w:rsid w:val="00913F1F"/>
    <w:rsid w:val="0091407E"/>
    <w:rsid w:val="00916386"/>
    <w:rsid w:val="00917330"/>
    <w:rsid w:val="00917CDB"/>
    <w:rsid w:val="00921B9C"/>
    <w:rsid w:val="00921CEF"/>
    <w:rsid w:val="00922512"/>
    <w:rsid w:val="009229E9"/>
    <w:rsid w:val="009242DF"/>
    <w:rsid w:val="009252A0"/>
    <w:rsid w:val="00927BAC"/>
    <w:rsid w:val="00930107"/>
    <w:rsid w:val="009309E2"/>
    <w:rsid w:val="00930F4E"/>
    <w:rsid w:val="0093571E"/>
    <w:rsid w:val="00936562"/>
    <w:rsid w:val="00936CBA"/>
    <w:rsid w:val="0093730F"/>
    <w:rsid w:val="009377C6"/>
    <w:rsid w:val="00944ABB"/>
    <w:rsid w:val="00945CBA"/>
    <w:rsid w:val="00946C0C"/>
    <w:rsid w:val="0094737C"/>
    <w:rsid w:val="009505B9"/>
    <w:rsid w:val="00950905"/>
    <w:rsid w:val="0095477C"/>
    <w:rsid w:val="009565C4"/>
    <w:rsid w:val="00963348"/>
    <w:rsid w:val="00963384"/>
    <w:rsid w:val="00966C41"/>
    <w:rsid w:val="00966CCB"/>
    <w:rsid w:val="009710BC"/>
    <w:rsid w:val="00971199"/>
    <w:rsid w:val="00972070"/>
    <w:rsid w:val="00974AE4"/>
    <w:rsid w:val="009750F9"/>
    <w:rsid w:val="00975AE7"/>
    <w:rsid w:val="00976E49"/>
    <w:rsid w:val="00977FA7"/>
    <w:rsid w:val="00977FE9"/>
    <w:rsid w:val="00981125"/>
    <w:rsid w:val="00985F75"/>
    <w:rsid w:val="00986CE8"/>
    <w:rsid w:val="00987C7E"/>
    <w:rsid w:val="009901FF"/>
    <w:rsid w:val="00991909"/>
    <w:rsid w:val="00991A36"/>
    <w:rsid w:val="00991F25"/>
    <w:rsid w:val="009927E8"/>
    <w:rsid w:val="009946C6"/>
    <w:rsid w:val="0099490B"/>
    <w:rsid w:val="009953C4"/>
    <w:rsid w:val="00996E32"/>
    <w:rsid w:val="009A335C"/>
    <w:rsid w:val="009A3709"/>
    <w:rsid w:val="009A3996"/>
    <w:rsid w:val="009A50B0"/>
    <w:rsid w:val="009A5778"/>
    <w:rsid w:val="009A5CA2"/>
    <w:rsid w:val="009A6EE9"/>
    <w:rsid w:val="009A6FB9"/>
    <w:rsid w:val="009B306E"/>
    <w:rsid w:val="009B3821"/>
    <w:rsid w:val="009B40A5"/>
    <w:rsid w:val="009C297E"/>
    <w:rsid w:val="009C4C39"/>
    <w:rsid w:val="009C4E37"/>
    <w:rsid w:val="009C6D0A"/>
    <w:rsid w:val="009D14A4"/>
    <w:rsid w:val="009D248F"/>
    <w:rsid w:val="009D44DE"/>
    <w:rsid w:val="009D65A7"/>
    <w:rsid w:val="009E1111"/>
    <w:rsid w:val="009E1379"/>
    <w:rsid w:val="009E24BE"/>
    <w:rsid w:val="009E5297"/>
    <w:rsid w:val="009E7ED4"/>
    <w:rsid w:val="009F012B"/>
    <w:rsid w:val="009F1B94"/>
    <w:rsid w:val="009F1F2E"/>
    <w:rsid w:val="009F503E"/>
    <w:rsid w:val="009F60F4"/>
    <w:rsid w:val="009F65CE"/>
    <w:rsid w:val="009F691B"/>
    <w:rsid w:val="00A00EBD"/>
    <w:rsid w:val="00A01C7F"/>
    <w:rsid w:val="00A02BBC"/>
    <w:rsid w:val="00A042C2"/>
    <w:rsid w:val="00A05F93"/>
    <w:rsid w:val="00A062CA"/>
    <w:rsid w:val="00A06F59"/>
    <w:rsid w:val="00A119F2"/>
    <w:rsid w:val="00A11C9B"/>
    <w:rsid w:val="00A13C8F"/>
    <w:rsid w:val="00A154D9"/>
    <w:rsid w:val="00A16C41"/>
    <w:rsid w:val="00A22E66"/>
    <w:rsid w:val="00A23AB8"/>
    <w:rsid w:val="00A24A32"/>
    <w:rsid w:val="00A278E9"/>
    <w:rsid w:val="00A27A53"/>
    <w:rsid w:val="00A30D55"/>
    <w:rsid w:val="00A31889"/>
    <w:rsid w:val="00A34910"/>
    <w:rsid w:val="00A34912"/>
    <w:rsid w:val="00A35753"/>
    <w:rsid w:val="00A415A6"/>
    <w:rsid w:val="00A42A2E"/>
    <w:rsid w:val="00A44312"/>
    <w:rsid w:val="00A54388"/>
    <w:rsid w:val="00A565F7"/>
    <w:rsid w:val="00A57025"/>
    <w:rsid w:val="00A57D07"/>
    <w:rsid w:val="00A60430"/>
    <w:rsid w:val="00A637DF"/>
    <w:rsid w:val="00A67305"/>
    <w:rsid w:val="00A707E4"/>
    <w:rsid w:val="00A70EE3"/>
    <w:rsid w:val="00A74185"/>
    <w:rsid w:val="00A74326"/>
    <w:rsid w:val="00A77134"/>
    <w:rsid w:val="00A823E5"/>
    <w:rsid w:val="00A8399A"/>
    <w:rsid w:val="00A85800"/>
    <w:rsid w:val="00A868EA"/>
    <w:rsid w:val="00A86A72"/>
    <w:rsid w:val="00A86D79"/>
    <w:rsid w:val="00A87E68"/>
    <w:rsid w:val="00A92F2D"/>
    <w:rsid w:val="00A93194"/>
    <w:rsid w:val="00A93DAD"/>
    <w:rsid w:val="00A9551F"/>
    <w:rsid w:val="00AA3341"/>
    <w:rsid w:val="00AA3EEF"/>
    <w:rsid w:val="00AA474A"/>
    <w:rsid w:val="00AA4DB3"/>
    <w:rsid w:val="00AB014D"/>
    <w:rsid w:val="00AB0A3D"/>
    <w:rsid w:val="00AB26DC"/>
    <w:rsid w:val="00AB3A68"/>
    <w:rsid w:val="00AB4A6F"/>
    <w:rsid w:val="00AB638D"/>
    <w:rsid w:val="00AB72D6"/>
    <w:rsid w:val="00AB7459"/>
    <w:rsid w:val="00AC439B"/>
    <w:rsid w:val="00AC4A55"/>
    <w:rsid w:val="00AD283B"/>
    <w:rsid w:val="00AD5961"/>
    <w:rsid w:val="00AD691B"/>
    <w:rsid w:val="00AD6EC0"/>
    <w:rsid w:val="00AE09BC"/>
    <w:rsid w:val="00AE34FF"/>
    <w:rsid w:val="00AE42D5"/>
    <w:rsid w:val="00AE4875"/>
    <w:rsid w:val="00AE5E0B"/>
    <w:rsid w:val="00AE5E5F"/>
    <w:rsid w:val="00AE6437"/>
    <w:rsid w:val="00AE7864"/>
    <w:rsid w:val="00AF3A6F"/>
    <w:rsid w:val="00AF78FD"/>
    <w:rsid w:val="00B0270F"/>
    <w:rsid w:val="00B037FD"/>
    <w:rsid w:val="00B07653"/>
    <w:rsid w:val="00B10CFA"/>
    <w:rsid w:val="00B11C56"/>
    <w:rsid w:val="00B13800"/>
    <w:rsid w:val="00B1470B"/>
    <w:rsid w:val="00B15F44"/>
    <w:rsid w:val="00B16242"/>
    <w:rsid w:val="00B274EB"/>
    <w:rsid w:val="00B32157"/>
    <w:rsid w:val="00B3798C"/>
    <w:rsid w:val="00B402CA"/>
    <w:rsid w:val="00B4087F"/>
    <w:rsid w:val="00B4372B"/>
    <w:rsid w:val="00B45615"/>
    <w:rsid w:val="00B475D2"/>
    <w:rsid w:val="00B47B6B"/>
    <w:rsid w:val="00B50CEC"/>
    <w:rsid w:val="00B52D4F"/>
    <w:rsid w:val="00B5445A"/>
    <w:rsid w:val="00B55509"/>
    <w:rsid w:val="00B56A1A"/>
    <w:rsid w:val="00B57034"/>
    <w:rsid w:val="00B61C3A"/>
    <w:rsid w:val="00B6352B"/>
    <w:rsid w:val="00B644EC"/>
    <w:rsid w:val="00B6654B"/>
    <w:rsid w:val="00B66C76"/>
    <w:rsid w:val="00B66EC7"/>
    <w:rsid w:val="00B70695"/>
    <w:rsid w:val="00B70AF2"/>
    <w:rsid w:val="00B70DD0"/>
    <w:rsid w:val="00B73E9E"/>
    <w:rsid w:val="00B744E8"/>
    <w:rsid w:val="00B76915"/>
    <w:rsid w:val="00B77069"/>
    <w:rsid w:val="00B80A89"/>
    <w:rsid w:val="00B81133"/>
    <w:rsid w:val="00B8246F"/>
    <w:rsid w:val="00B825E5"/>
    <w:rsid w:val="00B828FA"/>
    <w:rsid w:val="00B83527"/>
    <w:rsid w:val="00B875F4"/>
    <w:rsid w:val="00B90B70"/>
    <w:rsid w:val="00B90BDE"/>
    <w:rsid w:val="00B92672"/>
    <w:rsid w:val="00B94B46"/>
    <w:rsid w:val="00B94C99"/>
    <w:rsid w:val="00B96911"/>
    <w:rsid w:val="00B969B7"/>
    <w:rsid w:val="00BA01C2"/>
    <w:rsid w:val="00BA0B45"/>
    <w:rsid w:val="00BA15A4"/>
    <w:rsid w:val="00BA310E"/>
    <w:rsid w:val="00BA35B3"/>
    <w:rsid w:val="00BA492D"/>
    <w:rsid w:val="00BA55C9"/>
    <w:rsid w:val="00BB1091"/>
    <w:rsid w:val="00BB10DA"/>
    <w:rsid w:val="00BB20A2"/>
    <w:rsid w:val="00BB66D0"/>
    <w:rsid w:val="00BB770E"/>
    <w:rsid w:val="00BC30A1"/>
    <w:rsid w:val="00BC34CF"/>
    <w:rsid w:val="00BC49B7"/>
    <w:rsid w:val="00BC5C4F"/>
    <w:rsid w:val="00BC6ECF"/>
    <w:rsid w:val="00BD0CA5"/>
    <w:rsid w:val="00BD7747"/>
    <w:rsid w:val="00BE43E6"/>
    <w:rsid w:val="00BE6D4C"/>
    <w:rsid w:val="00BE71CF"/>
    <w:rsid w:val="00BF341E"/>
    <w:rsid w:val="00BF42E4"/>
    <w:rsid w:val="00BF57CD"/>
    <w:rsid w:val="00C0094F"/>
    <w:rsid w:val="00C0102D"/>
    <w:rsid w:val="00C02A3B"/>
    <w:rsid w:val="00C06C08"/>
    <w:rsid w:val="00C06D65"/>
    <w:rsid w:val="00C10196"/>
    <w:rsid w:val="00C10D5A"/>
    <w:rsid w:val="00C12DDF"/>
    <w:rsid w:val="00C16893"/>
    <w:rsid w:val="00C1705B"/>
    <w:rsid w:val="00C17B77"/>
    <w:rsid w:val="00C17EE0"/>
    <w:rsid w:val="00C223EE"/>
    <w:rsid w:val="00C22A9A"/>
    <w:rsid w:val="00C24715"/>
    <w:rsid w:val="00C2565E"/>
    <w:rsid w:val="00C263E4"/>
    <w:rsid w:val="00C26931"/>
    <w:rsid w:val="00C26DF3"/>
    <w:rsid w:val="00C30D9D"/>
    <w:rsid w:val="00C31600"/>
    <w:rsid w:val="00C3194B"/>
    <w:rsid w:val="00C31E23"/>
    <w:rsid w:val="00C32B7D"/>
    <w:rsid w:val="00C33699"/>
    <w:rsid w:val="00C3473A"/>
    <w:rsid w:val="00C34D04"/>
    <w:rsid w:val="00C34D2E"/>
    <w:rsid w:val="00C4359E"/>
    <w:rsid w:val="00C46D7F"/>
    <w:rsid w:val="00C52799"/>
    <w:rsid w:val="00C5340C"/>
    <w:rsid w:val="00C53EF0"/>
    <w:rsid w:val="00C54303"/>
    <w:rsid w:val="00C5747C"/>
    <w:rsid w:val="00C5766E"/>
    <w:rsid w:val="00C60ECD"/>
    <w:rsid w:val="00C61147"/>
    <w:rsid w:val="00C61194"/>
    <w:rsid w:val="00C613BC"/>
    <w:rsid w:val="00C615E5"/>
    <w:rsid w:val="00C6179E"/>
    <w:rsid w:val="00C62137"/>
    <w:rsid w:val="00C623C6"/>
    <w:rsid w:val="00C6311B"/>
    <w:rsid w:val="00C6396D"/>
    <w:rsid w:val="00C66954"/>
    <w:rsid w:val="00C711C8"/>
    <w:rsid w:val="00C71F71"/>
    <w:rsid w:val="00C734E4"/>
    <w:rsid w:val="00C737AC"/>
    <w:rsid w:val="00C74D3C"/>
    <w:rsid w:val="00C75EB6"/>
    <w:rsid w:val="00C7605D"/>
    <w:rsid w:val="00C76175"/>
    <w:rsid w:val="00C769B8"/>
    <w:rsid w:val="00C77AFA"/>
    <w:rsid w:val="00C85385"/>
    <w:rsid w:val="00C85D47"/>
    <w:rsid w:val="00C91D62"/>
    <w:rsid w:val="00C91EAA"/>
    <w:rsid w:val="00C91F37"/>
    <w:rsid w:val="00C928BA"/>
    <w:rsid w:val="00C92A61"/>
    <w:rsid w:val="00C93F20"/>
    <w:rsid w:val="00C9569C"/>
    <w:rsid w:val="00C97CCE"/>
    <w:rsid w:val="00CA2E1A"/>
    <w:rsid w:val="00CA544B"/>
    <w:rsid w:val="00CA5857"/>
    <w:rsid w:val="00CA7B9C"/>
    <w:rsid w:val="00CB2042"/>
    <w:rsid w:val="00CB25C8"/>
    <w:rsid w:val="00CB35F2"/>
    <w:rsid w:val="00CB4C93"/>
    <w:rsid w:val="00CB59C6"/>
    <w:rsid w:val="00CB6096"/>
    <w:rsid w:val="00CC06A5"/>
    <w:rsid w:val="00CC0C56"/>
    <w:rsid w:val="00CC120E"/>
    <w:rsid w:val="00CC4F00"/>
    <w:rsid w:val="00CC5B03"/>
    <w:rsid w:val="00CC64D2"/>
    <w:rsid w:val="00CC6E7D"/>
    <w:rsid w:val="00CC7413"/>
    <w:rsid w:val="00CD16C8"/>
    <w:rsid w:val="00CD428F"/>
    <w:rsid w:val="00CD5486"/>
    <w:rsid w:val="00CD5954"/>
    <w:rsid w:val="00CD6EB1"/>
    <w:rsid w:val="00CE13FF"/>
    <w:rsid w:val="00CE289E"/>
    <w:rsid w:val="00CE2AF4"/>
    <w:rsid w:val="00CE5028"/>
    <w:rsid w:val="00CE7533"/>
    <w:rsid w:val="00CE7E4C"/>
    <w:rsid w:val="00CF0A86"/>
    <w:rsid w:val="00CF2655"/>
    <w:rsid w:val="00CF3491"/>
    <w:rsid w:val="00CF370E"/>
    <w:rsid w:val="00CF463F"/>
    <w:rsid w:val="00CF6510"/>
    <w:rsid w:val="00D007F7"/>
    <w:rsid w:val="00D02D7A"/>
    <w:rsid w:val="00D03DDB"/>
    <w:rsid w:val="00D045E0"/>
    <w:rsid w:val="00D064E9"/>
    <w:rsid w:val="00D06BF3"/>
    <w:rsid w:val="00D138A8"/>
    <w:rsid w:val="00D14664"/>
    <w:rsid w:val="00D14F30"/>
    <w:rsid w:val="00D15E16"/>
    <w:rsid w:val="00D209BC"/>
    <w:rsid w:val="00D22096"/>
    <w:rsid w:val="00D2225A"/>
    <w:rsid w:val="00D23069"/>
    <w:rsid w:val="00D23DA1"/>
    <w:rsid w:val="00D278CB"/>
    <w:rsid w:val="00D279B6"/>
    <w:rsid w:val="00D30B78"/>
    <w:rsid w:val="00D356E7"/>
    <w:rsid w:val="00D3709E"/>
    <w:rsid w:val="00D42BEC"/>
    <w:rsid w:val="00D45D85"/>
    <w:rsid w:val="00D47B61"/>
    <w:rsid w:val="00D51042"/>
    <w:rsid w:val="00D52FC6"/>
    <w:rsid w:val="00D53E91"/>
    <w:rsid w:val="00D56966"/>
    <w:rsid w:val="00D56AC4"/>
    <w:rsid w:val="00D5729F"/>
    <w:rsid w:val="00D573CC"/>
    <w:rsid w:val="00D60151"/>
    <w:rsid w:val="00D615CF"/>
    <w:rsid w:val="00D63FC1"/>
    <w:rsid w:val="00D6423A"/>
    <w:rsid w:val="00D64AC4"/>
    <w:rsid w:val="00D652CD"/>
    <w:rsid w:val="00D70A01"/>
    <w:rsid w:val="00D71014"/>
    <w:rsid w:val="00D72359"/>
    <w:rsid w:val="00D723E0"/>
    <w:rsid w:val="00D72F17"/>
    <w:rsid w:val="00D750EC"/>
    <w:rsid w:val="00D77CCD"/>
    <w:rsid w:val="00D8315F"/>
    <w:rsid w:val="00D83DCA"/>
    <w:rsid w:val="00D845B4"/>
    <w:rsid w:val="00D8524C"/>
    <w:rsid w:val="00D863EC"/>
    <w:rsid w:val="00D90246"/>
    <w:rsid w:val="00D9322D"/>
    <w:rsid w:val="00D94242"/>
    <w:rsid w:val="00D96542"/>
    <w:rsid w:val="00DA139A"/>
    <w:rsid w:val="00DA293B"/>
    <w:rsid w:val="00DB0B20"/>
    <w:rsid w:val="00DB173C"/>
    <w:rsid w:val="00DB17EC"/>
    <w:rsid w:val="00DB4177"/>
    <w:rsid w:val="00DB6CAA"/>
    <w:rsid w:val="00DB6F4F"/>
    <w:rsid w:val="00DC165E"/>
    <w:rsid w:val="00DC4CFE"/>
    <w:rsid w:val="00DC6894"/>
    <w:rsid w:val="00DD1099"/>
    <w:rsid w:val="00DD1999"/>
    <w:rsid w:val="00DE1547"/>
    <w:rsid w:val="00DE55D3"/>
    <w:rsid w:val="00DE6603"/>
    <w:rsid w:val="00DF03B1"/>
    <w:rsid w:val="00DF0501"/>
    <w:rsid w:val="00DF1AF4"/>
    <w:rsid w:val="00DF666A"/>
    <w:rsid w:val="00E02FB4"/>
    <w:rsid w:val="00E0665E"/>
    <w:rsid w:val="00E10953"/>
    <w:rsid w:val="00E10BDA"/>
    <w:rsid w:val="00E11F86"/>
    <w:rsid w:val="00E1354A"/>
    <w:rsid w:val="00E13F61"/>
    <w:rsid w:val="00E1546C"/>
    <w:rsid w:val="00E1715E"/>
    <w:rsid w:val="00E1753F"/>
    <w:rsid w:val="00E26501"/>
    <w:rsid w:val="00E26DBA"/>
    <w:rsid w:val="00E270A9"/>
    <w:rsid w:val="00E300BF"/>
    <w:rsid w:val="00E3374A"/>
    <w:rsid w:val="00E36C72"/>
    <w:rsid w:val="00E3707E"/>
    <w:rsid w:val="00E42143"/>
    <w:rsid w:val="00E54258"/>
    <w:rsid w:val="00E561BC"/>
    <w:rsid w:val="00E602F5"/>
    <w:rsid w:val="00E60D40"/>
    <w:rsid w:val="00E61600"/>
    <w:rsid w:val="00E63621"/>
    <w:rsid w:val="00E64CAC"/>
    <w:rsid w:val="00E6536A"/>
    <w:rsid w:val="00E67F89"/>
    <w:rsid w:val="00E70D65"/>
    <w:rsid w:val="00E716A9"/>
    <w:rsid w:val="00E7313C"/>
    <w:rsid w:val="00E80518"/>
    <w:rsid w:val="00E84111"/>
    <w:rsid w:val="00E8517C"/>
    <w:rsid w:val="00E85320"/>
    <w:rsid w:val="00E863DB"/>
    <w:rsid w:val="00E87973"/>
    <w:rsid w:val="00E91266"/>
    <w:rsid w:val="00E912F4"/>
    <w:rsid w:val="00E92359"/>
    <w:rsid w:val="00E95050"/>
    <w:rsid w:val="00E977D1"/>
    <w:rsid w:val="00E97D0F"/>
    <w:rsid w:val="00EA05B7"/>
    <w:rsid w:val="00EA06BD"/>
    <w:rsid w:val="00EA0A40"/>
    <w:rsid w:val="00EA1D5D"/>
    <w:rsid w:val="00EA2F89"/>
    <w:rsid w:val="00EA3984"/>
    <w:rsid w:val="00EA4070"/>
    <w:rsid w:val="00EA4A29"/>
    <w:rsid w:val="00EA5C40"/>
    <w:rsid w:val="00EB0BB2"/>
    <w:rsid w:val="00EB0EF4"/>
    <w:rsid w:val="00EB15F8"/>
    <w:rsid w:val="00EB2610"/>
    <w:rsid w:val="00EB5468"/>
    <w:rsid w:val="00EB6827"/>
    <w:rsid w:val="00EC0C5F"/>
    <w:rsid w:val="00EC2272"/>
    <w:rsid w:val="00EC2AF2"/>
    <w:rsid w:val="00EC5382"/>
    <w:rsid w:val="00EC6F55"/>
    <w:rsid w:val="00EC73E3"/>
    <w:rsid w:val="00ED14CE"/>
    <w:rsid w:val="00ED2392"/>
    <w:rsid w:val="00ED23BC"/>
    <w:rsid w:val="00ED2B63"/>
    <w:rsid w:val="00ED317F"/>
    <w:rsid w:val="00EE1C8F"/>
    <w:rsid w:val="00EE545C"/>
    <w:rsid w:val="00EE54CA"/>
    <w:rsid w:val="00EE56B6"/>
    <w:rsid w:val="00EE7083"/>
    <w:rsid w:val="00EE7127"/>
    <w:rsid w:val="00EF0F1B"/>
    <w:rsid w:val="00EF15D9"/>
    <w:rsid w:val="00EF1953"/>
    <w:rsid w:val="00EF4C61"/>
    <w:rsid w:val="00EF4F3F"/>
    <w:rsid w:val="00F001E6"/>
    <w:rsid w:val="00F00C22"/>
    <w:rsid w:val="00F02A2A"/>
    <w:rsid w:val="00F05E93"/>
    <w:rsid w:val="00F079C2"/>
    <w:rsid w:val="00F12664"/>
    <w:rsid w:val="00F12EE9"/>
    <w:rsid w:val="00F14B9A"/>
    <w:rsid w:val="00F16055"/>
    <w:rsid w:val="00F1692B"/>
    <w:rsid w:val="00F17130"/>
    <w:rsid w:val="00F21515"/>
    <w:rsid w:val="00F21ADE"/>
    <w:rsid w:val="00F22A52"/>
    <w:rsid w:val="00F23D29"/>
    <w:rsid w:val="00F24F25"/>
    <w:rsid w:val="00F25718"/>
    <w:rsid w:val="00F27A5B"/>
    <w:rsid w:val="00F30408"/>
    <w:rsid w:val="00F33052"/>
    <w:rsid w:val="00F33F75"/>
    <w:rsid w:val="00F3656E"/>
    <w:rsid w:val="00F36EE2"/>
    <w:rsid w:val="00F37A98"/>
    <w:rsid w:val="00F41711"/>
    <w:rsid w:val="00F422EF"/>
    <w:rsid w:val="00F44BC2"/>
    <w:rsid w:val="00F44D2A"/>
    <w:rsid w:val="00F465FB"/>
    <w:rsid w:val="00F478F2"/>
    <w:rsid w:val="00F51844"/>
    <w:rsid w:val="00F51B71"/>
    <w:rsid w:val="00F51CFF"/>
    <w:rsid w:val="00F54294"/>
    <w:rsid w:val="00F54C11"/>
    <w:rsid w:val="00F569ED"/>
    <w:rsid w:val="00F604E3"/>
    <w:rsid w:val="00F63D79"/>
    <w:rsid w:val="00F66584"/>
    <w:rsid w:val="00F669C4"/>
    <w:rsid w:val="00F700E1"/>
    <w:rsid w:val="00F71FF5"/>
    <w:rsid w:val="00F74D8E"/>
    <w:rsid w:val="00F754F5"/>
    <w:rsid w:val="00F77ADB"/>
    <w:rsid w:val="00F77D95"/>
    <w:rsid w:val="00F80365"/>
    <w:rsid w:val="00F849C6"/>
    <w:rsid w:val="00F85FFF"/>
    <w:rsid w:val="00F86ADC"/>
    <w:rsid w:val="00F86D9E"/>
    <w:rsid w:val="00F93270"/>
    <w:rsid w:val="00F93FD3"/>
    <w:rsid w:val="00F95259"/>
    <w:rsid w:val="00F969BB"/>
    <w:rsid w:val="00F96DDA"/>
    <w:rsid w:val="00FA0EB2"/>
    <w:rsid w:val="00FA356C"/>
    <w:rsid w:val="00FA442C"/>
    <w:rsid w:val="00FA4DBB"/>
    <w:rsid w:val="00FA6E31"/>
    <w:rsid w:val="00FA7A8C"/>
    <w:rsid w:val="00FB0DC3"/>
    <w:rsid w:val="00FB1B8D"/>
    <w:rsid w:val="00FB5250"/>
    <w:rsid w:val="00FB627A"/>
    <w:rsid w:val="00FC1685"/>
    <w:rsid w:val="00FC1812"/>
    <w:rsid w:val="00FC551A"/>
    <w:rsid w:val="00FC5C2E"/>
    <w:rsid w:val="00FC6FFF"/>
    <w:rsid w:val="00FD08B8"/>
    <w:rsid w:val="00FD1B04"/>
    <w:rsid w:val="00FD3C80"/>
    <w:rsid w:val="00FD4708"/>
    <w:rsid w:val="00FD73EA"/>
    <w:rsid w:val="00FD76B8"/>
    <w:rsid w:val="00FD7814"/>
    <w:rsid w:val="00FE17EB"/>
    <w:rsid w:val="00FE22F2"/>
    <w:rsid w:val="00FE3056"/>
    <w:rsid w:val="00FE537B"/>
    <w:rsid w:val="00FE59A3"/>
    <w:rsid w:val="00FE76C0"/>
    <w:rsid w:val="00FF3680"/>
    <w:rsid w:val="00FF607D"/>
    <w:rsid w:val="00FF68B6"/>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6B665"/>
  <w15:docId w15:val="{42B89C1E-765C-4AF1-B381-6E155019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EE9"/>
    <w:pPr>
      <w:spacing w:line="360" w:lineRule="auto"/>
      <w:ind w:firstLine="567"/>
      <w:jc w:val="both"/>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spausdinimomainl1">
    <w:name w:val="htmlspausdinimomainl1"/>
    <w:basedOn w:val="Numatytasispastraiposriftas"/>
    <w:rsid w:val="00056EE9"/>
  </w:style>
  <w:style w:type="paragraph" w:styleId="Antrats">
    <w:name w:val="header"/>
    <w:basedOn w:val="prastasis"/>
    <w:link w:val="AntratsDiagrama"/>
    <w:uiPriority w:val="99"/>
    <w:unhideWhenUsed/>
    <w:rsid w:val="00056EE9"/>
    <w:pPr>
      <w:tabs>
        <w:tab w:val="center" w:pos="4986"/>
        <w:tab w:val="right" w:pos="9972"/>
      </w:tabs>
    </w:pPr>
  </w:style>
  <w:style w:type="character" w:customStyle="1" w:styleId="AntratsDiagrama">
    <w:name w:val="Antraštės Diagrama"/>
    <w:link w:val="Antrats"/>
    <w:uiPriority w:val="99"/>
    <w:rsid w:val="00056EE9"/>
    <w:rPr>
      <w:rFonts w:eastAsia="Calibri" w:cs="Times New Roman"/>
      <w:szCs w:val="24"/>
    </w:rPr>
  </w:style>
  <w:style w:type="paragraph" w:styleId="Porat">
    <w:name w:val="footer"/>
    <w:basedOn w:val="prastasis"/>
    <w:link w:val="PoratDiagrama"/>
    <w:unhideWhenUsed/>
    <w:rsid w:val="00056EE9"/>
    <w:pPr>
      <w:tabs>
        <w:tab w:val="center" w:pos="4986"/>
        <w:tab w:val="right" w:pos="9972"/>
      </w:tabs>
    </w:pPr>
  </w:style>
  <w:style w:type="character" w:customStyle="1" w:styleId="PoratDiagrama">
    <w:name w:val="Poraštė Diagrama"/>
    <w:link w:val="Porat"/>
    <w:rsid w:val="00056EE9"/>
    <w:rPr>
      <w:rFonts w:eastAsia="Calibri" w:cs="Times New Roman"/>
      <w:szCs w:val="24"/>
    </w:rPr>
  </w:style>
  <w:style w:type="character" w:customStyle="1" w:styleId="datametai">
    <w:name w:val="datametai"/>
    <w:basedOn w:val="Numatytasispastraiposriftas"/>
    <w:rsid w:val="00056EE9"/>
  </w:style>
  <w:style w:type="character" w:customStyle="1" w:styleId="datamnuo">
    <w:name w:val="datamnuo"/>
    <w:basedOn w:val="Numatytasispastraiposriftas"/>
    <w:rsid w:val="00056EE9"/>
  </w:style>
  <w:style w:type="character" w:customStyle="1" w:styleId="datadiena">
    <w:name w:val="datadiena"/>
    <w:basedOn w:val="Numatytasispastraiposriftas"/>
    <w:rsid w:val="00056EE9"/>
  </w:style>
  <w:style w:type="character" w:styleId="Komentaronuoroda">
    <w:name w:val="annotation reference"/>
    <w:uiPriority w:val="99"/>
    <w:semiHidden/>
    <w:unhideWhenUsed/>
    <w:rsid w:val="00056EE9"/>
    <w:rPr>
      <w:sz w:val="16"/>
      <w:szCs w:val="16"/>
    </w:rPr>
  </w:style>
  <w:style w:type="paragraph" w:styleId="Komentarotekstas">
    <w:name w:val="annotation text"/>
    <w:basedOn w:val="prastasis"/>
    <w:link w:val="KomentarotekstasDiagrama"/>
    <w:uiPriority w:val="99"/>
    <w:semiHidden/>
    <w:unhideWhenUsed/>
    <w:rsid w:val="00056EE9"/>
    <w:pPr>
      <w:spacing w:line="240" w:lineRule="auto"/>
    </w:pPr>
    <w:rPr>
      <w:sz w:val="20"/>
      <w:szCs w:val="20"/>
    </w:rPr>
  </w:style>
  <w:style w:type="character" w:customStyle="1" w:styleId="KomentarotekstasDiagrama">
    <w:name w:val="Komentaro tekstas Diagrama"/>
    <w:link w:val="Komentarotekstas"/>
    <w:uiPriority w:val="99"/>
    <w:semiHidden/>
    <w:rsid w:val="00056EE9"/>
    <w:rPr>
      <w:rFonts w:eastAsia="Calibri" w:cs="Times New Roman"/>
      <w:sz w:val="20"/>
      <w:szCs w:val="20"/>
    </w:rPr>
  </w:style>
  <w:style w:type="paragraph" w:styleId="Debesliotekstas">
    <w:name w:val="Balloon Text"/>
    <w:basedOn w:val="prastasis"/>
    <w:link w:val="DebesliotekstasDiagrama"/>
    <w:uiPriority w:val="99"/>
    <w:semiHidden/>
    <w:unhideWhenUsed/>
    <w:rsid w:val="00056EE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56EE9"/>
    <w:rPr>
      <w:rFonts w:ascii="Tahoma" w:eastAsia="Calibri" w:hAnsi="Tahoma" w:cs="Tahoma"/>
      <w:sz w:val="16"/>
      <w:szCs w:val="16"/>
    </w:rPr>
  </w:style>
  <w:style w:type="character" w:styleId="Hipersaitas">
    <w:name w:val="Hyperlink"/>
    <w:rsid w:val="00372E68"/>
    <w:rPr>
      <w:color w:val="0000FF"/>
      <w:u w:val="single"/>
    </w:rPr>
  </w:style>
  <w:style w:type="paragraph" w:styleId="Sraopastraipa">
    <w:name w:val="List Paragraph"/>
    <w:basedOn w:val="prastasis"/>
    <w:uiPriority w:val="34"/>
    <w:qFormat/>
    <w:rsid w:val="00EA0A40"/>
    <w:pPr>
      <w:spacing w:after="200" w:line="276" w:lineRule="auto"/>
      <w:ind w:left="720" w:firstLine="0"/>
      <w:contextualSpacing/>
      <w:jc w:val="left"/>
    </w:pPr>
  </w:style>
  <w:style w:type="character" w:styleId="Puslapioinaosnuoroda">
    <w:name w:val="footnote reference"/>
    <w:uiPriority w:val="99"/>
    <w:rsid w:val="004568D9"/>
    <w:rPr>
      <w:vertAlign w:val="superscript"/>
    </w:rPr>
  </w:style>
  <w:style w:type="paragraph" w:styleId="Puslapioinaostekstas">
    <w:name w:val="footnote text"/>
    <w:basedOn w:val="prastasis"/>
    <w:link w:val="PuslapioinaostekstasDiagrama"/>
    <w:uiPriority w:val="99"/>
    <w:unhideWhenUsed/>
    <w:rsid w:val="00F86D9E"/>
    <w:pPr>
      <w:spacing w:line="240" w:lineRule="auto"/>
    </w:pPr>
    <w:rPr>
      <w:sz w:val="20"/>
      <w:szCs w:val="20"/>
    </w:rPr>
  </w:style>
  <w:style w:type="character" w:customStyle="1" w:styleId="PuslapioinaostekstasDiagrama">
    <w:name w:val="Puslapio išnašos tekstas Diagrama"/>
    <w:link w:val="Puslapioinaostekstas"/>
    <w:uiPriority w:val="99"/>
    <w:rsid w:val="00F86D9E"/>
    <w:rPr>
      <w:rFonts w:eastAsia="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B0BB2"/>
    <w:rPr>
      <w:b/>
      <w:bCs/>
    </w:rPr>
  </w:style>
  <w:style w:type="character" w:customStyle="1" w:styleId="KomentarotemaDiagrama">
    <w:name w:val="Komentaro tema Diagrama"/>
    <w:link w:val="Komentarotema"/>
    <w:uiPriority w:val="99"/>
    <w:semiHidden/>
    <w:rsid w:val="00EB0BB2"/>
    <w:rPr>
      <w:rFonts w:eastAsia="Calibri" w:cs="Times New Roman"/>
      <w:b/>
      <w:bCs/>
      <w:sz w:val="20"/>
      <w:szCs w:val="20"/>
    </w:rPr>
  </w:style>
  <w:style w:type="table" w:styleId="Lentelstinklelis">
    <w:name w:val="Table Grid"/>
    <w:basedOn w:val="prastojilentel"/>
    <w:uiPriority w:val="59"/>
    <w:rsid w:val="00DE55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prastojilentel"/>
    <w:uiPriority w:val="60"/>
    <w:rsid w:val="00DE55D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uiPriority w:val="60"/>
    <w:rsid w:val="00DE55D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
    <w:name w:val="bodytext"/>
    <w:basedOn w:val="prastasis"/>
    <w:uiPriority w:val="99"/>
    <w:rsid w:val="0088238B"/>
    <w:pPr>
      <w:spacing w:before="100" w:beforeAutospacing="1" w:after="100" w:afterAutospacing="1" w:line="240" w:lineRule="auto"/>
      <w:ind w:firstLine="0"/>
      <w:jc w:val="left"/>
    </w:pPr>
    <w:rPr>
      <w:rFonts w:eastAsia="Times New Roman"/>
      <w:lang w:eastAsia="lt-LT"/>
    </w:rPr>
  </w:style>
  <w:style w:type="paragraph" w:customStyle="1" w:styleId="Preformatted">
    <w:name w:val="Preformatted"/>
    <w:basedOn w:val="prastasis"/>
    <w:uiPriority w:val="99"/>
    <w:rsid w:val="00281CF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sz w:val="20"/>
      <w:szCs w:val="20"/>
    </w:rPr>
  </w:style>
  <w:style w:type="paragraph" w:styleId="Pagrindiniotekstotrauka">
    <w:name w:val="Body Text Indent"/>
    <w:basedOn w:val="prastasis"/>
    <w:link w:val="PagrindiniotekstotraukaDiagrama"/>
    <w:uiPriority w:val="99"/>
    <w:rsid w:val="0079511B"/>
    <w:pPr>
      <w:spacing w:after="120" w:line="240" w:lineRule="auto"/>
      <w:ind w:left="283" w:firstLine="0"/>
      <w:jc w:val="left"/>
    </w:pPr>
    <w:rPr>
      <w:rFonts w:ascii="TIMESLT" w:eastAsia="Times New Roman" w:hAnsi="TIMESLT"/>
      <w:sz w:val="22"/>
      <w:szCs w:val="20"/>
      <w:lang w:val="en-US" w:eastAsia="lt-LT"/>
    </w:rPr>
  </w:style>
  <w:style w:type="character" w:customStyle="1" w:styleId="PagrindiniotekstotraukaDiagrama">
    <w:name w:val="Pagrindinio teksto įtrauka Diagrama"/>
    <w:basedOn w:val="Numatytasispastraiposriftas"/>
    <w:link w:val="Pagrindiniotekstotrauka"/>
    <w:uiPriority w:val="99"/>
    <w:rsid w:val="0079511B"/>
    <w:rPr>
      <w:rFonts w:ascii="TIMESLT" w:eastAsia="Times New Roman" w:hAnsi="TIMESLT"/>
      <w:sz w:val="22"/>
      <w:lang w:eastAsia="lt-LT"/>
    </w:rPr>
  </w:style>
  <w:style w:type="paragraph" w:styleId="Pagrindiniotekstotrauka3">
    <w:name w:val="Body Text Indent 3"/>
    <w:basedOn w:val="prastasis"/>
    <w:link w:val="Pagrindiniotekstotrauka3Diagrama"/>
    <w:uiPriority w:val="99"/>
    <w:rsid w:val="0079511B"/>
    <w:pPr>
      <w:spacing w:after="120" w:line="240" w:lineRule="auto"/>
      <w:ind w:left="283" w:firstLine="0"/>
      <w:jc w:val="left"/>
    </w:pPr>
    <w:rPr>
      <w:rFonts w:ascii="TIMESLT" w:eastAsia="Times New Roman" w:hAnsi="TIMESLT"/>
      <w:sz w:val="16"/>
      <w:szCs w:val="16"/>
      <w:lang w:val="en-US" w:eastAsia="lt-LT"/>
    </w:rPr>
  </w:style>
  <w:style w:type="character" w:customStyle="1" w:styleId="Pagrindiniotekstotrauka3Diagrama">
    <w:name w:val="Pagrindinio teksto įtrauka 3 Diagrama"/>
    <w:basedOn w:val="Numatytasispastraiposriftas"/>
    <w:link w:val="Pagrindiniotekstotrauka3"/>
    <w:uiPriority w:val="99"/>
    <w:rsid w:val="0079511B"/>
    <w:rPr>
      <w:rFonts w:ascii="TIMESLT" w:eastAsia="Times New Roman" w:hAnsi="TIMESLT"/>
      <w:sz w:val="16"/>
      <w:szCs w:val="16"/>
      <w:lang w:eastAsia="lt-LT"/>
    </w:rPr>
  </w:style>
  <w:style w:type="paragraph" w:customStyle="1" w:styleId="Style2">
    <w:name w:val="Style2"/>
    <w:basedOn w:val="prastasis"/>
    <w:uiPriority w:val="99"/>
    <w:rsid w:val="0079511B"/>
    <w:pPr>
      <w:keepNext/>
      <w:spacing w:before="120" w:after="120" w:line="240" w:lineRule="auto"/>
      <w:ind w:firstLine="0"/>
      <w:jc w:val="center"/>
    </w:pPr>
    <w:rPr>
      <w:rFonts w:ascii="TIMESLT" w:eastAsia="Times New Roman" w:hAnsi="TIMESLT"/>
      <w:b/>
      <w:szCs w:val="20"/>
      <w:lang w:val="en-GB"/>
    </w:rPr>
  </w:style>
  <w:style w:type="paragraph" w:styleId="Betarp">
    <w:name w:val="No Spacing"/>
    <w:uiPriority w:val="1"/>
    <w:qFormat/>
    <w:rsid w:val="00AB26DC"/>
    <w:rPr>
      <w:rFonts w:asciiTheme="minorHAnsi" w:eastAsiaTheme="minorHAnsi" w:hAnsiTheme="minorHAnsi" w:cstheme="minorBidi"/>
      <w:sz w:val="22"/>
      <w:szCs w:val="22"/>
      <w:lang w:val="lt-LT"/>
    </w:rPr>
  </w:style>
  <w:style w:type="character" w:customStyle="1" w:styleId="st">
    <w:name w:val="st"/>
    <w:basedOn w:val="Numatytasispastraiposriftas"/>
    <w:uiPriority w:val="99"/>
    <w:rsid w:val="002F69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1962">
      <w:bodyDiv w:val="1"/>
      <w:marLeft w:val="0"/>
      <w:marRight w:val="0"/>
      <w:marTop w:val="0"/>
      <w:marBottom w:val="0"/>
      <w:divBdr>
        <w:top w:val="none" w:sz="0" w:space="0" w:color="auto"/>
        <w:left w:val="none" w:sz="0" w:space="0" w:color="auto"/>
        <w:bottom w:val="none" w:sz="0" w:space="0" w:color="auto"/>
        <w:right w:val="none" w:sz="0" w:space="0" w:color="auto"/>
      </w:divBdr>
    </w:div>
    <w:div w:id="203373446">
      <w:bodyDiv w:val="1"/>
      <w:marLeft w:val="0"/>
      <w:marRight w:val="0"/>
      <w:marTop w:val="0"/>
      <w:marBottom w:val="0"/>
      <w:divBdr>
        <w:top w:val="none" w:sz="0" w:space="0" w:color="auto"/>
        <w:left w:val="none" w:sz="0" w:space="0" w:color="auto"/>
        <w:bottom w:val="none" w:sz="0" w:space="0" w:color="auto"/>
        <w:right w:val="none" w:sz="0" w:space="0" w:color="auto"/>
      </w:divBdr>
    </w:div>
    <w:div w:id="251546289">
      <w:bodyDiv w:val="1"/>
      <w:marLeft w:val="0"/>
      <w:marRight w:val="0"/>
      <w:marTop w:val="0"/>
      <w:marBottom w:val="0"/>
      <w:divBdr>
        <w:top w:val="none" w:sz="0" w:space="0" w:color="auto"/>
        <w:left w:val="none" w:sz="0" w:space="0" w:color="auto"/>
        <w:bottom w:val="none" w:sz="0" w:space="0" w:color="auto"/>
        <w:right w:val="none" w:sz="0" w:space="0" w:color="auto"/>
      </w:divBdr>
    </w:div>
    <w:div w:id="403989156">
      <w:bodyDiv w:val="1"/>
      <w:marLeft w:val="0"/>
      <w:marRight w:val="0"/>
      <w:marTop w:val="0"/>
      <w:marBottom w:val="0"/>
      <w:divBdr>
        <w:top w:val="none" w:sz="0" w:space="0" w:color="auto"/>
        <w:left w:val="none" w:sz="0" w:space="0" w:color="auto"/>
        <w:bottom w:val="none" w:sz="0" w:space="0" w:color="auto"/>
        <w:right w:val="none" w:sz="0" w:space="0" w:color="auto"/>
      </w:divBdr>
    </w:div>
    <w:div w:id="583804230">
      <w:bodyDiv w:val="1"/>
      <w:marLeft w:val="0"/>
      <w:marRight w:val="0"/>
      <w:marTop w:val="0"/>
      <w:marBottom w:val="0"/>
      <w:divBdr>
        <w:top w:val="none" w:sz="0" w:space="0" w:color="auto"/>
        <w:left w:val="none" w:sz="0" w:space="0" w:color="auto"/>
        <w:bottom w:val="none" w:sz="0" w:space="0" w:color="auto"/>
        <w:right w:val="none" w:sz="0" w:space="0" w:color="auto"/>
      </w:divBdr>
    </w:div>
    <w:div w:id="585118561">
      <w:bodyDiv w:val="1"/>
      <w:marLeft w:val="0"/>
      <w:marRight w:val="0"/>
      <w:marTop w:val="0"/>
      <w:marBottom w:val="0"/>
      <w:divBdr>
        <w:top w:val="none" w:sz="0" w:space="0" w:color="auto"/>
        <w:left w:val="none" w:sz="0" w:space="0" w:color="auto"/>
        <w:bottom w:val="none" w:sz="0" w:space="0" w:color="auto"/>
        <w:right w:val="none" w:sz="0" w:space="0" w:color="auto"/>
      </w:divBdr>
    </w:div>
    <w:div w:id="587426129">
      <w:bodyDiv w:val="1"/>
      <w:marLeft w:val="0"/>
      <w:marRight w:val="0"/>
      <w:marTop w:val="0"/>
      <w:marBottom w:val="0"/>
      <w:divBdr>
        <w:top w:val="none" w:sz="0" w:space="0" w:color="auto"/>
        <w:left w:val="none" w:sz="0" w:space="0" w:color="auto"/>
        <w:bottom w:val="none" w:sz="0" w:space="0" w:color="auto"/>
        <w:right w:val="none" w:sz="0" w:space="0" w:color="auto"/>
      </w:divBdr>
    </w:div>
    <w:div w:id="687177105">
      <w:bodyDiv w:val="1"/>
      <w:marLeft w:val="0"/>
      <w:marRight w:val="0"/>
      <w:marTop w:val="0"/>
      <w:marBottom w:val="0"/>
      <w:divBdr>
        <w:top w:val="none" w:sz="0" w:space="0" w:color="auto"/>
        <w:left w:val="none" w:sz="0" w:space="0" w:color="auto"/>
        <w:bottom w:val="none" w:sz="0" w:space="0" w:color="auto"/>
        <w:right w:val="none" w:sz="0" w:space="0" w:color="auto"/>
      </w:divBdr>
    </w:div>
    <w:div w:id="697850206">
      <w:bodyDiv w:val="1"/>
      <w:marLeft w:val="0"/>
      <w:marRight w:val="0"/>
      <w:marTop w:val="0"/>
      <w:marBottom w:val="0"/>
      <w:divBdr>
        <w:top w:val="none" w:sz="0" w:space="0" w:color="auto"/>
        <w:left w:val="none" w:sz="0" w:space="0" w:color="auto"/>
        <w:bottom w:val="none" w:sz="0" w:space="0" w:color="auto"/>
        <w:right w:val="none" w:sz="0" w:space="0" w:color="auto"/>
      </w:divBdr>
    </w:div>
    <w:div w:id="798109021">
      <w:bodyDiv w:val="1"/>
      <w:marLeft w:val="0"/>
      <w:marRight w:val="0"/>
      <w:marTop w:val="0"/>
      <w:marBottom w:val="0"/>
      <w:divBdr>
        <w:top w:val="none" w:sz="0" w:space="0" w:color="auto"/>
        <w:left w:val="none" w:sz="0" w:space="0" w:color="auto"/>
        <w:bottom w:val="none" w:sz="0" w:space="0" w:color="auto"/>
        <w:right w:val="none" w:sz="0" w:space="0" w:color="auto"/>
      </w:divBdr>
    </w:div>
    <w:div w:id="878400513">
      <w:bodyDiv w:val="1"/>
      <w:marLeft w:val="0"/>
      <w:marRight w:val="0"/>
      <w:marTop w:val="0"/>
      <w:marBottom w:val="0"/>
      <w:divBdr>
        <w:top w:val="none" w:sz="0" w:space="0" w:color="auto"/>
        <w:left w:val="none" w:sz="0" w:space="0" w:color="auto"/>
        <w:bottom w:val="none" w:sz="0" w:space="0" w:color="auto"/>
        <w:right w:val="none" w:sz="0" w:space="0" w:color="auto"/>
      </w:divBdr>
    </w:div>
    <w:div w:id="1028992741">
      <w:bodyDiv w:val="1"/>
      <w:marLeft w:val="0"/>
      <w:marRight w:val="0"/>
      <w:marTop w:val="0"/>
      <w:marBottom w:val="0"/>
      <w:divBdr>
        <w:top w:val="none" w:sz="0" w:space="0" w:color="auto"/>
        <w:left w:val="none" w:sz="0" w:space="0" w:color="auto"/>
        <w:bottom w:val="none" w:sz="0" w:space="0" w:color="auto"/>
        <w:right w:val="none" w:sz="0" w:space="0" w:color="auto"/>
      </w:divBdr>
    </w:div>
    <w:div w:id="1090079387">
      <w:bodyDiv w:val="1"/>
      <w:marLeft w:val="0"/>
      <w:marRight w:val="0"/>
      <w:marTop w:val="0"/>
      <w:marBottom w:val="0"/>
      <w:divBdr>
        <w:top w:val="none" w:sz="0" w:space="0" w:color="auto"/>
        <w:left w:val="none" w:sz="0" w:space="0" w:color="auto"/>
        <w:bottom w:val="none" w:sz="0" w:space="0" w:color="auto"/>
        <w:right w:val="none" w:sz="0" w:space="0" w:color="auto"/>
      </w:divBdr>
    </w:div>
    <w:div w:id="1173491051">
      <w:bodyDiv w:val="1"/>
      <w:marLeft w:val="0"/>
      <w:marRight w:val="0"/>
      <w:marTop w:val="0"/>
      <w:marBottom w:val="0"/>
      <w:divBdr>
        <w:top w:val="none" w:sz="0" w:space="0" w:color="auto"/>
        <w:left w:val="none" w:sz="0" w:space="0" w:color="auto"/>
        <w:bottom w:val="none" w:sz="0" w:space="0" w:color="auto"/>
        <w:right w:val="none" w:sz="0" w:space="0" w:color="auto"/>
      </w:divBdr>
    </w:div>
    <w:div w:id="1190336455">
      <w:bodyDiv w:val="1"/>
      <w:marLeft w:val="0"/>
      <w:marRight w:val="0"/>
      <w:marTop w:val="0"/>
      <w:marBottom w:val="0"/>
      <w:divBdr>
        <w:top w:val="none" w:sz="0" w:space="0" w:color="auto"/>
        <w:left w:val="none" w:sz="0" w:space="0" w:color="auto"/>
        <w:bottom w:val="none" w:sz="0" w:space="0" w:color="auto"/>
        <w:right w:val="none" w:sz="0" w:space="0" w:color="auto"/>
      </w:divBdr>
    </w:div>
    <w:div w:id="1193882933">
      <w:bodyDiv w:val="1"/>
      <w:marLeft w:val="0"/>
      <w:marRight w:val="0"/>
      <w:marTop w:val="0"/>
      <w:marBottom w:val="0"/>
      <w:divBdr>
        <w:top w:val="none" w:sz="0" w:space="0" w:color="auto"/>
        <w:left w:val="none" w:sz="0" w:space="0" w:color="auto"/>
        <w:bottom w:val="none" w:sz="0" w:space="0" w:color="auto"/>
        <w:right w:val="none" w:sz="0" w:space="0" w:color="auto"/>
      </w:divBdr>
    </w:div>
    <w:div w:id="1357854906">
      <w:bodyDiv w:val="1"/>
      <w:marLeft w:val="0"/>
      <w:marRight w:val="0"/>
      <w:marTop w:val="0"/>
      <w:marBottom w:val="0"/>
      <w:divBdr>
        <w:top w:val="none" w:sz="0" w:space="0" w:color="auto"/>
        <w:left w:val="none" w:sz="0" w:space="0" w:color="auto"/>
        <w:bottom w:val="none" w:sz="0" w:space="0" w:color="auto"/>
        <w:right w:val="none" w:sz="0" w:space="0" w:color="auto"/>
      </w:divBdr>
    </w:div>
    <w:div w:id="1425764551">
      <w:bodyDiv w:val="1"/>
      <w:marLeft w:val="0"/>
      <w:marRight w:val="0"/>
      <w:marTop w:val="0"/>
      <w:marBottom w:val="0"/>
      <w:divBdr>
        <w:top w:val="none" w:sz="0" w:space="0" w:color="auto"/>
        <w:left w:val="none" w:sz="0" w:space="0" w:color="auto"/>
        <w:bottom w:val="none" w:sz="0" w:space="0" w:color="auto"/>
        <w:right w:val="none" w:sz="0" w:space="0" w:color="auto"/>
      </w:divBdr>
    </w:div>
    <w:div w:id="1598518664">
      <w:bodyDiv w:val="1"/>
      <w:marLeft w:val="0"/>
      <w:marRight w:val="0"/>
      <w:marTop w:val="0"/>
      <w:marBottom w:val="0"/>
      <w:divBdr>
        <w:top w:val="none" w:sz="0" w:space="0" w:color="auto"/>
        <w:left w:val="none" w:sz="0" w:space="0" w:color="auto"/>
        <w:bottom w:val="none" w:sz="0" w:space="0" w:color="auto"/>
        <w:right w:val="none" w:sz="0" w:space="0" w:color="auto"/>
      </w:divBdr>
    </w:div>
    <w:div w:id="1664313531">
      <w:bodyDiv w:val="1"/>
      <w:marLeft w:val="0"/>
      <w:marRight w:val="0"/>
      <w:marTop w:val="0"/>
      <w:marBottom w:val="0"/>
      <w:divBdr>
        <w:top w:val="none" w:sz="0" w:space="0" w:color="auto"/>
        <w:left w:val="none" w:sz="0" w:space="0" w:color="auto"/>
        <w:bottom w:val="none" w:sz="0" w:space="0" w:color="auto"/>
        <w:right w:val="none" w:sz="0" w:space="0" w:color="auto"/>
      </w:divBdr>
    </w:div>
    <w:div w:id="1751586485">
      <w:bodyDiv w:val="1"/>
      <w:marLeft w:val="0"/>
      <w:marRight w:val="0"/>
      <w:marTop w:val="0"/>
      <w:marBottom w:val="0"/>
      <w:divBdr>
        <w:top w:val="none" w:sz="0" w:space="0" w:color="auto"/>
        <w:left w:val="none" w:sz="0" w:space="0" w:color="auto"/>
        <w:bottom w:val="none" w:sz="0" w:space="0" w:color="auto"/>
        <w:right w:val="none" w:sz="0" w:space="0" w:color="auto"/>
      </w:divBdr>
    </w:div>
    <w:div w:id="1786458526">
      <w:bodyDiv w:val="1"/>
      <w:marLeft w:val="0"/>
      <w:marRight w:val="0"/>
      <w:marTop w:val="0"/>
      <w:marBottom w:val="0"/>
      <w:divBdr>
        <w:top w:val="none" w:sz="0" w:space="0" w:color="auto"/>
        <w:left w:val="none" w:sz="0" w:space="0" w:color="auto"/>
        <w:bottom w:val="none" w:sz="0" w:space="0" w:color="auto"/>
        <w:right w:val="none" w:sz="0" w:space="0" w:color="auto"/>
      </w:divBdr>
    </w:div>
    <w:div w:id="1846748785">
      <w:bodyDiv w:val="1"/>
      <w:marLeft w:val="0"/>
      <w:marRight w:val="0"/>
      <w:marTop w:val="0"/>
      <w:marBottom w:val="0"/>
      <w:divBdr>
        <w:top w:val="none" w:sz="0" w:space="0" w:color="auto"/>
        <w:left w:val="none" w:sz="0" w:space="0" w:color="auto"/>
        <w:bottom w:val="none" w:sz="0" w:space="0" w:color="auto"/>
        <w:right w:val="none" w:sz="0" w:space="0" w:color="auto"/>
      </w:divBdr>
    </w:div>
    <w:div w:id="1888179215">
      <w:bodyDiv w:val="1"/>
      <w:marLeft w:val="0"/>
      <w:marRight w:val="0"/>
      <w:marTop w:val="0"/>
      <w:marBottom w:val="0"/>
      <w:divBdr>
        <w:top w:val="none" w:sz="0" w:space="0" w:color="auto"/>
        <w:left w:val="none" w:sz="0" w:space="0" w:color="auto"/>
        <w:bottom w:val="none" w:sz="0" w:space="0" w:color="auto"/>
        <w:right w:val="none" w:sz="0" w:space="0" w:color="auto"/>
      </w:divBdr>
    </w:div>
    <w:div w:id="1908952859">
      <w:bodyDiv w:val="1"/>
      <w:marLeft w:val="0"/>
      <w:marRight w:val="0"/>
      <w:marTop w:val="0"/>
      <w:marBottom w:val="0"/>
      <w:divBdr>
        <w:top w:val="none" w:sz="0" w:space="0" w:color="auto"/>
        <w:left w:val="none" w:sz="0" w:space="0" w:color="auto"/>
        <w:bottom w:val="none" w:sz="0" w:space="0" w:color="auto"/>
        <w:right w:val="none" w:sz="0" w:space="0" w:color="auto"/>
      </w:divBdr>
    </w:div>
    <w:div w:id="1923949779">
      <w:bodyDiv w:val="1"/>
      <w:marLeft w:val="0"/>
      <w:marRight w:val="0"/>
      <w:marTop w:val="0"/>
      <w:marBottom w:val="0"/>
      <w:divBdr>
        <w:top w:val="none" w:sz="0" w:space="0" w:color="auto"/>
        <w:left w:val="none" w:sz="0" w:space="0" w:color="auto"/>
        <w:bottom w:val="none" w:sz="0" w:space="0" w:color="auto"/>
        <w:right w:val="none" w:sz="0" w:space="0" w:color="auto"/>
      </w:divBdr>
    </w:div>
    <w:div w:id="1950887454">
      <w:bodyDiv w:val="1"/>
      <w:marLeft w:val="0"/>
      <w:marRight w:val="0"/>
      <w:marTop w:val="0"/>
      <w:marBottom w:val="0"/>
      <w:divBdr>
        <w:top w:val="none" w:sz="0" w:space="0" w:color="auto"/>
        <w:left w:val="none" w:sz="0" w:space="0" w:color="auto"/>
        <w:bottom w:val="none" w:sz="0" w:space="0" w:color="auto"/>
        <w:right w:val="none" w:sz="0" w:space="0" w:color="auto"/>
      </w:divBdr>
      <w:divsChild>
        <w:div w:id="674067057">
          <w:marLeft w:val="0"/>
          <w:marRight w:val="0"/>
          <w:marTop w:val="0"/>
          <w:marBottom w:val="0"/>
          <w:divBdr>
            <w:top w:val="none" w:sz="0" w:space="0" w:color="auto"/>
            <w:left w:val="none" w:sz="0" w:space="0" w:color="auto"/>
            <w:bottom w:val="none" w:sz="0" w:space="0" w:color="auto"/>
            <w:right w:val="none" w:sz="0" w:space="0" w:color="auto"/>
          </w:divBdr>
          <w:divsChild>
            <w:div w:id="2105612107">
              <w:marLeft w:val="0"/>
              <w:marRight w:val="0"/>
              <w:marTop w:val="0"/>
              <w:marBottom w:val="0"/>
              <w:divBdr>
                <w:top w:val="none" w:sz="0" w:space="0" w:color="auto"/>
                <w:left w:val="none" w:sz="0" w:space="0" w:color="auto"/>
                <w:bottom w:val="none" w:sz="0" w:space="0" w:color="auto"/>
                <w:right w:val="none" w:sz="0" w:space="0" w:color="auto"/>
              </w:divBdr>
              <w:divsChild>
                <w:div w:id="760444993">
                  <w:marLeft w:val="0"/>
                  <w:marRight w:val="0"/>
                  <w:marTop w:val="0"/>
                  <w:marBottom w:val="0"/>
                  <w:divBdr>
                    <w:top w:val="none" w:sz="0" w:space="0" w:color="auto"/>
                    <w:left w:val="none" w:sz="0" w:space="0" w:color="auto"/>
                    <w:bottom w:val="none" w:sz="0" w:space="0" w:color="auto"/>
                    <w:right w:val="none" w:sz="0" w:space="0" w:color="auto"/>
                  </w:divBdr>
                  <w:divsChild>
                    <w:div w:id="698817876">
                      <w:marLeft w:val="0"/>
                      <w:marRight w:val="0"/>
                      <w:marTop w:val="0"/>
                      <w:marBottom w:val="0"/>
                      <w:divBdr>
                        <w:top w:val="none" w:sz="0" w:space="0" w:color="auto"/>
                        <w:left w:val="none" w:sz="0" w:space="0" w:color="auto"/>
                        <w:bottom w:val="none" w:sz="0" w:space="0" w:color="auto"/>
                        <w:right w:val="none" w:sz="0" w:space="0" w:color="auto"/>
                      </w:divBdr>
                      <w:divsChild>
                        <w:div w:id="1771509754">
                          <w:marLeft w:val="0"/>
                          <w:marRight w:val="0"/>
                          <w:marTop w:val="0"/>
                          <w:marBottom w:val="0"/>
                          <w:divBdr>
                            <w:top w:val="none" w:sz="0" w:space="0" w:color="auto"/>
                            <w:left w:val="none" w:sz="0" w:space="0" w:color="auto"/>
                            <w:bottom w:val="none" w:sz="0" w:space="0" w:color="auto"/>
                            <w:right w:val="none" w:sz="0" w:space="0" w:color="auto"/>
                          </w:divBdr>
                          <w:divsChild>
                            <w:div w:id="129447409">
                              <w:marLeft w:val="0"/>
                              <w:marRight w:val="0"/>
                              <w:marTop w:val="0"/>
                              <w:marBottom w:val="0"/>
                              <w:divBdr>
                                <w:top w:val="none" w:sz="0" w:space="0" w:color="auto"/>
                                <w:left w:val="none" w:sz="0" w:space="0" w:color="auto"/>
                                <w:bottom w:val="none" w:sz="0" w:space="0" w:color="auto"/>
                                <w:right w:val="none" w:sz="0" w:space="0" w:color="auto"/>
                              </w:divBdr>
                              <w:divsChild>
                                <w:div w:id="559679011">
                                  <w:marLeft w:val="75"/>
                                  <w:marRight w:val="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79452">
      <w:bodyDiv w:val="1"/>
      <w:marLeft w:val="0"/>
      <w:marRight w:val="0"/>
      <w:marTop w:val="0"/>
      <w:marBottom w:val="0"/>
      <w:divBdr>
        <w:top w:val="none" w:sz="0" w:space="0" w:color="auto"/>
        <w:left w:val="none" w:sz="0" w:space="0" w:color="auto"/>
        <w:bottom w:val="none" w:sz="0" w:space="0" w:color="auto"/>
        <w:right w:val="none" w:sz="0" w:space="0" w:color="auto"/>
      </w:divBdr>
    </w:div>
    <w:div w:id="1961110593">
      <w:bodyDiv w:val="1"/>
      <w:marLeft w:val="0"/>
      <w:marRight w:val="0"/>
      <w:marTop w:val="0"/>
      <w:marBottom w:val="0"/>
      <w:divBdr>
        <w:top w:val="none" w:sz="0" w:space="0" w:color="auto"/>
        <w:left w:val="none" w:sz="0" w:space="0" w:color="auto"/>
        <w:bottom w:val="none" w:sz="0" w:space="0" w:color="auto"/>
        <w:right w:val="none" w:sz="0" w:space="0" w:color="auto"/>
      </w:divBdr>
    </w:div>
    <w:div w:id="1963267716">
      <w:bodyDiv w:val="1"/>
      <w:marLeft w:val="0"/>
      <w:marRight w:val="0"/>
      <w:marTop w:val="0"/>
      <w:marBottom w:val="0"/>
      <w:divBdr>
        <w:top w:val="none" w:sz="0" w:space="0" w:color="auto"/>
        <w:left w:val="none" w:sz="0" w:space="0" w:color="auto"/>
        <w:bottom w:val="none" w:sz="0" w:space="0" w:color="auto"/>
        <w:right w:val="none" w:sz="0" w:space="0" w:color="auto"/>
      </w:divBdr>
    </w:div>
    <w:div w:id="2030718112">
      <w:bodyDiv w:val="1"/>
      <w:marLeft w:val="0"/>
      <w:marRight w:val="0"/>
      <w:marTop w:val="0"/>
      <w:marBottom w:val="0"/>
      <w:divBdr>
        <w:top w:val="none" w:sz="0" w:space="0" w:color="auto"/>
        <w:left w:val="none" w:sz="0" w:space="0" w:color="auto"/>
        <w:bottom w:val="none" w:sz="0" w:space="0" w:color="auto"/>
        <w:right w:val="none" w:sz="0" w:space="0" w:color="auto"/>
      </w:divBdr>
    </w:div>
    <w:div w:id="21171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A9FA5-DB89-4F82-AFBE-A432AF01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10219</Words>
  <Characters>5825</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Algirdas</dc:creator>
  <cp:lastModifiedBy>STT user</cp:lastModifiedBy>
  <cp:revision>2</cp:revision>
  <cp:lastPrinted>2013-03-19T08:07:00Z</cp:lastPrinted>
  <dcterms:created xsi:type="dcterms:W3CDTF">2020-04-02T06:36:00Z</dcterms:created>
  <dcterms:modified xsi:type="dcterms:W3CDTF">2020-04-02T06:36:00Z</dcterms:modified>
</cp:coreProperties>
</file>