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0377B" w14:textId="77777777" w:rsidR="004D00A7" w:rsidRDefault="005F5640" w:rsidP="00996D7E">
      <w:pPr>
        <w:jc w:val="center"/>
        <w:rPr>
          <w:rFonts w:ascii="Times New Roman" w:hAnsi="Times New Roman" w:cs="Times New Roman"/>
          <w:b/>
        </w:rPr>
      </w:pPr>
      <w:r w:rsidRPr="001475F0">
        <w:rPr>
          <w:rFonts w:ascii="Times New Roman" w:hAnsi="Times New Roman" w:cs="Times New Roman"/>
          <w:b/>
        </w:rPr>
        <w:t xml:space="preserve">KORUPCIJOS RIZIKOS ANALIZĖS IŠVADOJE </w:t>
      </w:r>
      <w:bookmarkStart w:id="0" w:name="_Hlk178860665"/>
      <w:r w:rsidRPr="00041D35">
        <w:rPr>
          <w:rFonts w:ascii="Times New Roman" w:hAnsi="Times New Roman" w:cs="Times New Roman"/>
          <w:b/>
        </w:rPr>
        <w:t xml:space="preserve">ŠVIETIMO IR MOKSLO MINISTERIJOS </w:t>
      </w:r>
      <w:r w:rsidRPr="00874DA9">
        <w:rPr>
          <w:rFonts w:ascii="Times New Roman" w:hAnsi="Times New Roman" w:cs="Times New Roman"/>
          <w:b/>
        </w:rPr>
        <w:t>VALDOMO (NAUDOJAMO) NEKILNOJAMOJO TURTO PERDAVIMO TRETIESIEMS ASMENIMS LAIKINAI NAUDOTIS (SUTEIKIANT PANAUDOS TEISE IR IŠNUOMOJANT) VEIKLOS SRITYJE</w:t>
      </w:r>
      <w:r>
        <w:rPr>
          <w:rFonts w:ascii="Times New Roman" w:hAnsi="Times New Roman" w:cs="Times New Roman"/>
          <w:b/>
        </w:rPr>
        <w:t xml:space="preserve"> MINISTERIJAI </w:t>
      </w:r>
      <w:bookmarkEnd w:id="0"/>
      <w:r w:rsidRPr="001475F0">
        <w:rPr>
          <w:rFonts w:ascii="Times New Roman" w:hAnsi="Times New Roman" w:cs="Times New Roman"/>
          <w:b/>
        </w:rPr>
        <w:t xml:space="preserve">PATEIKTŲ </w:t>
      </w:r>
      <w:r w:rsidR="004D00A7">
        <w:rPr>
          <w:rFonts w:ascii="Times New Roman" w:hAnsi="Times New Roman" w:cs="Times New Roman"/>
          <w:b/>
        </w:rPr>
        <w:t>PASIŪLYMŲ</w:t>
      </w:r>
      <w:r>
        <w:rPr>
          <w:rFonts w:ascii="Times New Roman" w:hAnsi="Times New Roman" w:cs="Times New Roman"/>
          <w:b/>
        </w:rPr>
        <w:t xml:space="preserve"> ĮGYVENDINIMO </w:t>
      </w:r>
    </w:p>
    <w:p w14:paraId="53965541" w14:textId="1A6760FB" w:rsidR="005F5640" w:rsidRDefault="005F5640" w:rsidP="00996D7E">
      <w:pPr>
        <w:jc w:val="center"/>
        <w:rPr>
          <w:rFonts w:ascii="Times New Roman" w:hAnsi="Times New Roman" w:cs="Times New Roman"/>
          <w:b/>
        </w:rPr>
      </w:pPr>
      <w:r>
        <w:rPr>
          <w:rFonts w:ascii="Times New Roman" w:hAnsi="Times New Roman" w:cs="Times New Roman"/>
          <w:b/>
        </w:rPr>
        <w:t>STEBĖSENOS LENTELĖ</w:t>
      </w:r>
      <w:r w:rsidRPr="001475F0">
        <w:rPr>
          <w:rFonts w:ascii="Times New Roman" w:hAnsi="Times New Roman" w:cs="Times New Roman"/>
          <w:b/>
        </w:rPr>
        <w:t xml:space="preserve"> </w:t>
      </w:r>
    </w:p>
    <w:p w14:paraId="49517B26" w14:textId="1728D1A0" w:rsidR="005F5640" w:rsidRPr="001475F0" w:rsidRDefault="00301256" w:rsidP="00996D7E">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p>
    <w:p w14:paraId="55EE4728" w14:textId="3B718C62" w:rsidR="005F5640" w:rsidRPr="001475F0" w:rsidRDefault="005F5640" w:rsidP="00FE2608">
      <w:pPr>
        <w:ind w:firstLine="851"/>
        <w:jc w:val="both"/>
        <w:rPr>
          <w:rFonts w:ascii="Times New Roman" w:hAnsi="Times New Roman" w:cs="Times New Roman"/>
          <w:bCs/>
        </w:rPr>
      </w:pPr>
      <w:bookmarkStart w:id="1" w:name="_Hlk178860769"/>
      <w:r w:rsidRPr="002F1A97">
        <w:rPr>
          <w:rFonts w:ascii="Times New Roman" w:hAnsi="Times New Roman" w:cs="Times New Roman"/>
          <w:bCs/>
        </w:rPr>
        <w:t>Korupcijos rizikos analizės išvada</w:t>
      </w:r>
      <w:r w:rsidR="004D00A7">
        <w:rPr>
          <w:rFonts w:ascii="Times New Roman" w:hAnsi="Times New Roman" w:cs="Times New Roman"/>
          <w:bCs/>
        </w:rPr>
        <w:t xml:space="preserve"> </w:t>
      </w:r>
      <w:bookmarkStart w:id="2" w:name="_Hlk178862224"/>
      <w:r w:rsidR="004D00A7">
        <w:rPr>
          <w:rFonts w:ascii="Times New Roman" w:hAnsi="Times New Roman" w:cs="Times New Roman"/>
          <w:bCs/>
        </w:rPr>
        <w:t>Š</w:t>
      </w:r>
      <w:r w:rsidR="004D00A7" w:rsidRPr="004D00A7">
        <w:rPr>
          <w:rFonts w:ascii="Times New Roman" w:hAnsi="Times New Roman" w:cs="Times New Roman"/>
          <w:bCs/>
        </w:rPr>
        <w:t>vietimo ir mokslo ministerijos valdomo (naudojamo) nekilnojamojo turto perdavimo tretiesiems asmenims laikinai naudotis (suteikiant panaudos teise ir išnuomojant) veiklos srityj</w:t>
      </w:r>
      <w:bookmarkEnd w:id="1"/>
      <w:r w:rsidR="004D00A7" w:rsidRPr="004D00A7">
        <w:rPr>
          <w:rFonts w:ascii="Times New Roman" w:hAnsi="Times New Roman" w:cs="Times New Roman"/>
          <w:bCs/>
        </w:rPr>
        <w:t>e</w:t>
      </w:r>
      <w:r w:rsidRPr="002F1A97">
        <w:rPr>
          <w:rFonts w:ascii="Times New Roman" w:hAnsi="Times New Roman" w:cs="Times New Roman"/>
          <w:bCs/>
        </w:rPr>
        <w:t xml:space="preserve"> </w:t>
      </w:r>
      <w:bookmarkEnd w:id="2"/>
      <w:r w:rsidRPr="002F1A97">
        <w:rPr>
          <w:rFonts w:ascii="Times New Roman" w:hAnsi="Times New Roman" w:cs="Times New Roman"/>
          <w:bCs/>
        </w:rPr>
        <w:t xml:space="preserve">(toliau – KRA išvada) ir pasiūlymai Lietuvos Respublikos </w:t>
      </w:r>
      <w:r w:rsidR="00FE2608">
        <w:rPr>
          <w:rFonts w:ascii="Times New Roman" w:hAnsi="Times New Roman" w:cs="Times New Roman"/>
          <w:bCs/>
        </w:rPr>
        <w:t>švietimo, mokslo ir sporto ministerijai (buv. Švietimo ir mokslo ministerija)</w:t>
      </w:r>
      <w:r w:rsidRPr="002F1A97">
        <w:rPr>
          <w:rFonts w:ascii="Times New Roman" w:hAnsi="Times New Roman" w:cs="Times New Roman"/>
          <w:bCs/>
        </w:rPr>
        <w:t xml:space="preserve"> (toliau – </w:t>
      </w:r>
      <w:r w:rsidR="00FE2608">
        <w:rPr>
          <w:rFonts w:ascii="Times New Roman" w:hAnsi="Times New Roman" w:cs="Times New Roman"/>
          <w:bCs/>
        </w:rPr>
        <w:t>Švietimo ir mokslo ministerija arba ŠMSM</w:t>
      </w:r>
      <w:r w:rsidRPr="002F1A97">
        <w:rPr>
          <w:rFonts w:ascii="Times New Roman" w:hAnsi="Times New Roman" w:cs="Times New Roman"/>
          <w:bCs/>
        </w:rPr>
        <w:t>), pateikti STT 20</w:t>
      </w:r>
      <w:r w:rsidR="00FE2608">
        <w:rPr>
          <w:rFonts w:ascii="Times New Roman" w:hAnsi="Times New Roman" w:cs="Times New Roman"/>
          <w:bCs/>
        </w:rPr>
        <w:t>17</w:t>
      </w:r>
      <w:r w:rsidRPr="002F1A97">
        <w:rPr>
          <w:rFonts w:ascii="Times New Roman" w:hAnsi="Times New Roman" w:cs="Times New Roman"/>
          <w:bCs/>
        </w:rPr>
        <w:t xml:space="preserve"> m. </w:t>
      </w:r>
      <w:r w:rsidR="00FE2608">
        <w:rPr>
          <w:rFonts w:ascii="Times New Roman" w:hAnsi="Times New Roman" w:cs="Times New Roman"/>
          <w:bCs/>
        </w:rPr>
        <w:t>gruodžio 27</w:t>
      </w:r>
      <w:r w:rsidRPr="002F1A97">
        <w:rPr>
          <w:rFonts w:ascii="Times New Roman" w:hAnsi="Times New Roman" w:cs="Times New Roman"/>
          <w:bCs/>
        </w:rPr>
        <w:t xml:space="preserve"> d. raštu Nr. </w:t>
      </w:r>
      <w:bookmarkStart w:id="3" w:name="_Hlk178860859"/>
      <w:r w:rsidRPr="002F1A97">
        <w:rPr>
          <w:rFonts w:ascii="Times New Roman" w:hAnsi="Times New Roman" w:cs="Times New Roman"/>
          <w:bCs/>
        </w:rPr>
        <w:t>4-01-</w:t>
      </w:r>
      <w:r w:rsidR="00FE2608">
        <w:rPr>
          <w:rFonts w:ascii="Times New Roman" w:hAnsi="Times New Roman" w:cs="Times New Roman"/>
          <w:bCs/>
        </w:rPr>
        <w:t>10128</w:t>
      </w:r>
      <w:bookmarkEnd w:id="3"/>
      <w:r w:rsidR="00FE2608">
        <w:rPr>
          <w:rFonts w:ascii="Times New Roman" w:hAnsi="Times New Roman" w:cs="Times New Roman"/>
          <w:bCs/>
        </w:rPr>
        <w:t>.</w:t>
      </w:r>
    </w:p>
    <w:p w14:paraId="312CA804" w14:textId="1D01065A" w:rsidR="005F5640" w:rsidRDefault="005F5640" w:rsidP="00996D7E">
      <w:pPr>
        <w:pStyle w:val="Sraopastraipa"/>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Korupcijos rizikos analizės išvadoje </w:t>
      </w:r>
      <w:r w:rsidR="00FE2608">
        <w:rPr>
          <w:rFonts w:ascii="Times New Roman" w:hAnsi="Times New Roman" w:cs="Times New Roman"/>
          <w:bCs/>
          <w:sz w:val="24"/>
          <w:szCs w:val="24"/>
        </w:rPr>
        <w:t xml:space="preserve">ŠMSM </w:t>
      </w:r>
      <w:r>
        <w:rPr>
          <w:rFonts w:ascii="Times New Roman" w:hAnsi="Times New Roman" w:cs="Times New Roman"/>
          <w:bCs/>
          <w:sz w:val="24"/>
          <w:szCs w:val="24"/>
        </w:rPr>
        <w:t xml:space="preserve">buvo pateikti </w:t>
      </w:r>
      <w:r w:rsidR="00FE2608">
        <w:rPr>
          <w:rFonts w:ascii="Times New Roman" w:hAnsi="Times New Roman" w:cs="Times New Roman"/>
          <w:bCs/>
          <w:sz w:val="24"/>
          <w:szCs w:val="24"/>
        </w:rPr>
        <w:t>1</w:t>
      </w:r>
      <w:r w:rsidR="00F61AE0">
        <w:rPr>
          <w:rFonts w:ascii="Times New Roman" w:hAnsi="Times New Roman" w:cs="Times New Roman"/>
          <w:bCs/>
          <w:sz w:val="24"/>
          <w:szCs w:val="24"/>
        </w:rPr>
        <w:t>7</w:t>
      </w:r>
      <w:r w:rsidRPr="001D5313">
        <w:rPr>
          <w:rFonts w:ascii="Times New Roman" w:hAnsi="Times New Roman" w:cs="Times New Roman"/>
          <w:bCs/>
          <w:sz w:val="24"/>
          <w:szCs w:val="24"/>
        </w:rPr>
        <w:t xml:space="preserve"> </w:t>
      </w:r>
      <w:r w:rsidR="00FE2608">
        <w:rPr>
          <w:rFonts w:ascii="Times New Roman" w:hAnsi="Times New Roman" w:cs="Times New Roman"/>
          <w:bCs/>
          <w:sz w:val="24"/>
          <w:szCs w:val="24"/>
        </w:rPr>
        <w:t>pasiūlymų</w:t>
      </w:r>
      <w:r>
        <w:rPr>
          <w:rFonts w:ascii="Times New Roman" w:hAnsi="Times New Roman" w:cs="Times New Roman"/>
          <w:bCs/>
          <w:sz w:val="24"/>
          <w:szCs w:val="24"/>
        </w:rPr>
        <w:t>.</w:t>
      </w:r>
    </w:p>
    <w:p w14:paraId="19367D2B" w14:textId="3F2BBBF8" w:rsidR="005F5640" w:rsidRDefault="005F5640" w:rsidP="005F5640">
      <w:pPr>
        <w:pStyle w:val="Sraopastraipa"/>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KRA išvadoje pateiktų pasiūlymų </w:t>
      </w:r>
      <w:r w:rsidR="007B0B33">
        <w:rPr>
          <w:rFonts w:ascii="Times New Roman" w:hAnsi="Times New Roman" w:cs="Times New Roman"/>
          <w:bCs/>
          <w:sz w:val="24"/>
          <w:szCs w:val="24"/>
        </w:rPr>
        <w:t>ŠMSM</w:t>
      </w:r>
      <w:r w:rsidRPr="001475F0">
        <w:rPr>
          <w:rFonts w:ascii="Times New Roman" w:hAnsi="Times New Roman" w:cs="Times New Roman"/>
          <w:bCs/>
          <w:sz w:val="24"/>
          <w:szCs w:val="24"/>
        </w:rPr>
        <w:t xml:space="preserve"> </w:t>
      </w:r>
      <w:r>
        <w:rPr>
          <w:rFonts w:ascii="Times New Roman" w:hAnsi="Times New Roman" w:cs="Times New Roman"/>
          <w:bCs/>
          <w:sz w:val="24"/>
          <w:szCs w:val="24"/>
        </w:rPr>
        <w:t>įgyvendinimo stebėsena atlikta ir informacija apie KRA išvadoje pateiktų pasiūlymų įgyvendinimą parengta</w:t>
      </w:r>
      <w:r w:rsidRPr="00780578">
        <w:rPr>
          <w:rFonts w:ascii="Times New Roman" w:hAnsi="Times New Roman" w:cs="Times New Roman"/>
          <w:bCs/>
          <w:sz w:val="24"/>
          <w:szCs w:val="24"/>
        </w:rPr>
        <w:t xml:space="preserve"> pagal</w:t>
      </w:r>
      <w:r>
        <w:rPr>
          <w:rFonts w:ascii="Times New Roman" w:hAnsi="Times New Roman" w:cs="Times New Roman"/>
          <w:bCs/>
          <w:sz w:val="24"/>
          <w:szCs w:val="24"/>
        </w:rPr>
        <w:t xml:space="preserve"> </w:t>
      </w:r>
      <w:r w:rsidR="00FE2608">
        <w:rPr>
          <w:rFonts w:ascii="Times New Roman" w:hAnsi="Times New Roman" w:cs="Times New Roman"/>
          <w:bCs/>
          <w:sz w:val="24"/>
          <w:szCs w:val="24"/>
        </w:rPr>
        <w:t>ŠMSM</w:t>
      </w:r>
      <w:r>
        <w:rPr>
          <w:rFonts w:ascii="Times New Roman" w:hAnsi="Times New Roman" w:cs="Times New Roman"/>
          <w:bCs/>
          <w:sz w:val="24"/>
          <w:szCs w:val="24"/>
        </w:rPr>
        <w:t xml:space="preserve"> </w:t>
      </w:r>
      <w:bookmarkStart w:id="4" w:name="_Hlk178861520"/>
      <w:r w:rsidRPr="002F1A97">
        <w:rPr>
          <w:rFonts w:ascii="Times New Roman" w:hAnsi="Times New Roman" w:cs="Times New Roman"/>
          <w:bCs/>
          <w:sz w:val="24"/>
          <w:szCs w:val="24"/>
        </w:rPr>
        <w:t>interneto svetainėje</w:t>
      </w:r>
      <w:r>
        <w:rPr>
          <w:rFonts w:ascii="Times New Roman" w:hAnsi="Times New Roman" w:cs="Times New Roman"/>
          <w:bCs/>
          <w:sz w:val="24"/>
          <w:szCs w:val="24"/>
        </w:rPr>
        <w:t xml:space="preserve"> paskelbtą</w:t>
      </w:r>
      <w:r w:rsidR="00F61AE0">
        <w:rPr>
          <w:rFonts w:ascii="Times New Roman" w:hAnsi="Times New Roman" w:cs="Times New Roman"/>
          <w:bCs/>
          <w:sz w:val="24"/>
          <w:szCs w:val="24"/>
        </w:rPr>
        <w:t xml:space="preserve"> ankstesnę informaciją apie įgyvendinimą</w:t>
      </w:r>
      <w:r>
        <w:rPr>
          <w:rFonts w:ascii="Times New Roman" w:hAnsi="Times New Roman" w:cs="Times New Roman"/>
          <w:bCs/>
          <w:sz w:val="24"/>
          <w:szCs w:val="24"/>
        </w:rPr>
        <w:t xml:space="preserve"> </w:t>
      </w:r>
      <w:bookmarkEnd w:id="4"/>
      <w:r>
        <w:rPr>
          <w:rFonts w:ascii="Times New Roman" w:hAnsi="Times New Roman" w:cs="Times New Roman"/>
          <w:bCs/>
          <w:sz w:val="24"/>
          <w:szCs w:val="24"/>
        </w:rPr>
        <w:t>ir</w:t>
      </w:r>
      <w:r w:rsidRPr="002F1A97">
        <w:rPr>
          <w:rFonts w:ascii="Times New Roman" w:hAnsi="Times New Roman" w:cs="Times New Roman"/>
          <w:bCs/>
          <w:sz w:val="24"/>
          <w:szCs w:val="24"/>
        </w:rPr>
        <w:t xml:space="preserve"> </w:t>
      </w:r>
      <w:r w:rsidR="00FE2608">
        <w:rPr>
          <w:rFonts w:ascii="Times New Roman" w:hAnsi="Times New Roman" w:cs="Times New Roman"/>
          <w:bCs/>
          <w:sz w:val="24"/>
          <w:szCs w:val="24"/>
        </w:rPr>
        <w:t xml:space="preserve">ŠMSM </w:t>
      </w:r>
      <w:bookmarkStart w:id="5" w:name="_Hlk178860898"/>
      <w:r w:rsidR="00FE2608">
        <w:rPr>
          <w:rFonts w:ascii="Times New Roman" w:hAnsi="Times New Roman" w:cs="Times New Roman"/>
          <w:bCs/>
          <w:sz w:val="24"/>
          <w:szCs w:val="24"/>
        </w:rPr>
        <w:t xml:space="preserve">2024-09-23 raštu Nr. SR-330 </w:t>
      </w:r>
      <w:bookmarkEnd w:id="5"/>
      <w:r w:rsidR="00FE2608">
        <w:rPr>
          <w:rFonts w:ascii="Times New Roman" w:hAnsi="Times New Roman" w:cs="Times New Roman"/>
          <w:bCs/>
          <w:sz w:val="24"/>
          <w:szCs w:val="24"/>
        </w:rPr>
        <w:t>STT pateiktą</w:t>
      </w:r>
      <w:r w:rsidR="00FE2608" w:rsidRPr="002F1A97">
        <w:rPr>
          <w:rFonts w:ascii="Times New Roman" w:hAnsi="Times New Roman" w:cs="Times New Roman"/>
          <w:bCs/>
          <w:sz w:val="24"/>
          <w:szCs w:val="24"/>
        </w:rPr>
        <w:t xml:space="preserve"> </w:t>
      </w:r>
      <w:r w:rsidR="00FE2608">
        <w:rPr>
          <w:rFonts w:ascii="Times New Roman" w:hAnsi="Times New Roman" w:cs="Times New Roman"/>
          <w:bCs/>
          <w:sz w:val="24"/>
          <w:szCs w:val="24"/>
        </w:rPr>
        <w:t>informaciją.</w:t>
      </w:r>
    </w:p>
    <w:p w14:paraId="2B25778C" w14:textId="77777777" w:rsidR="005F5640" w:rsidRDefault="005F5640" w:rsidP="005F5640">
      <w:pPr>
        <w:pStyle w:val="Sraopastraipa"/>
        <w:spacing w:after="0" w:line="240" w:lineRule="auto"/>
        <w:ind w:left="0" w:firstLine="851"/>
        <w:jc w:val="both"/>
        <w:rPr>
          <w:rFonts w:ascii="Times New Roman" w:hAnsi="Times New Roman" w:cs="Times New Roman"/>
          <w:bCs/>
          <w:sz w:val="24"/>
          <w:szCs w:val="24"/>
        </w:rPr>
      </w:pPr>
    </w:p>
    <w:tbl>
      <w:tblPr>
        <w:tblOverlap w:val="never"/>
        <w:tblW w:w="14611" w:type="dxa"/>
        <w:jc w:val="center"/>
        <w:tblLayout w:type="fixed"/>
        <w:tblCellMar>
          <w:left w:w="10" w:type="dxa"/>
          <w:right w:w="10" w:type="dxa"/>
        </w:tblCellMar>
        <w:tblLook w:val="0000" w:firstRow="0" w:lastRow="0" w:firstColumn="0" w:lastColumn="0" w:noHBand="0" w:noVBand="0"/>
      </w:tblPr>
      <w:tblGrid>
        <w:gridCol w:w="846"/>
        <w:gridCol w:w="4266"/>
        <w:gridCol w:w="5656"/>
        <w:gridCol w:w="3843"/>
      </w:tblGrid>
      <w:tr w:rsidR="007C1C01" w14:paraId="7E16BA5F" w14:textId="77777777" w:rsidTr="00897D43">
        <w:trPr>
          <w:trHeight w:hRule="exact" w:val="898"/>
          <w:jc w:val="center"/>
        </w:trPr>
        <w:tc>
          <w:tcPr>
            <w:tcW w:w="846" w:type="dxa"/>
            <w:tcBorders>
              <w:top w:val="single" w:sz="4" w:space="0" w:color="auto"/>
              <w:left w:val="single" w:sz="4" w:space="0" w:color="auto"/>
            </w:tcBorders>
            <w:shd w:val="clear" w:color="auto" w:fill="auto"/>
          </w:tcPr>
          <w:p w14:paraId="462EEEF7" w14:textId="77777777" w:rsidR="007C1C01" w:rsidRDefault="007C1C01">
            <w:pPr>
              <w:rPr>
                <w:sz w:val="10"/>
                <w:szCs w:val="10"/>
              </w:rPr>
            </w:pPr>
          </w:p>
        </w:tc>
        <w:tc>
          <w:tcPr>
            <w:tcW w:w="4266" w:type="dxa"/>
            <w:tcBorders>
              <w:top w:val="single" w:sz="4" w:space="0" w:color="auto"/>
              <w:left w:val="single" w:sz="4" w:space="0" w:color="auto"/>
            </w:tcBorders>
            <w:shd w:val="clear" w:color="auto" w:fill="auto"/>
          </w:tcPr>
          <w:p w14:paraId="1192469C" w14:textId="3E9E4E06" w:rsidR="007C1C01" w:rsidRDefault="00FE2608">
            <w:pPr>
              <w:pStyle w:val="Other0"/>
              <w:spacing w:before="100"/>
              <w:jc w:val="center"/>
            </w:pPr>
            <w:r>
              <w:rPr>
                <w:rStyle w:val="Other"/>
                <w:b/>
                <w:bCs/>
                <w:i/>
                <w:iCs/>
              </w:rPr>
              <w:t>Pasiūlymai</w:t>
            </w:r>
          </w:p>
        </w:tc>
        <w:tc>
          <w:tcPr>
            <w:tcW w:w="5656" w:type="dxa"/>
            <w:tcBorders>
              <w:top w:val="single" w:sz="4" w:space="0" w:color="auto"/>
              <w:left w:val="single" w:sz="4" w:space="0" w:color="auto"/>
            </w:tcBorders>
            <w:shd w:val="clear" w:color="auto" w:fill="auto"/>
          </w:tcPr>
          <w:p w14:paraId="33AB9016" w14:textId="77777777" w:rsidR="007C1C01" w:rsidRDefault="003E0CC5">
            <w:pPr>
              <w:pStyle w:val="Other0"/>
              <w:jc w:val="center"/>
            </w:pPr>
            <w:r>
              <w:rPr>
                <w:rStyle w:val="Other"/>
                <w:b/>
                <w:bCs/>
                <w:i/>
                <w:iCs/>
              </w:rPr>
              <w:t>Švietimo ir mokslo ministerijos numatytos priemonės rekomendacijoms įgyvendinti</w:t>
            </w:r>
          </w:p>
        </w:tc>
        <w:tc>
          <w:tcPr>
            <w:tcW w:w="3843" w:type="dxa"/>
            <w:tcBorders>
              <w:top w:val="single" w:sz="4" w:space="0" w:color="auto"/>
              <w:left w:val="single" w:sz="4" w:space="0" w:color="auto"/>
              <w:right w:val="single" w:sz="4" w:space="0" w:color="auto"/>
            </w:tcBorders>
            <w:shd w:val="clear" w:color="auto" w:fill="auto"/>
          </w:tcPr>
          <w:p w14:paraId="57C3656C" w14:textId="77C20497" w:rsidR="007C1C01" w:rsidRDefault="003E0CC5">
            <w:pPr>
              <w:pStyle w:val="Other0"/>
              <w:jc w:val="center"/>
            </w:pPr>
            <w:r>
              <w:rPr>
                <w:rStyle w:val="Other"/>
                <w:b/>
                <w:bCs/>
                <w:i/>
                <w:iCs/>
              </w:rPr>
              <w:t xml:space="preserve">STT nuomonė dėl </w:t>
            </w:r>
            <w:r w:rsidR="00FE2608">
              <w:rPr>
                <w:rStyle w:val="Other"/>
                <w:b/>
                <w:bCs/>
                <w:i/>
                <w:iCs/>
              </w:rPr>
              <w:t>pasiūlymo</w:t>
            </w:r>
            <w:r>
              <w:rPr>
                <w:rStyle w:val="Other"/>
                <w:b/>
                <w:bCs/>
                <w:i/>
                <w:iCs/>
              </w:rPr>
              <w:t xml:space="preserve"> įgyvendinimo ir siūlymai</w:t>
            </w:r>
          </w:p>
        </w:tc>
      </w:tr>
      <w:tr w:rsidR="007C1C01" w14:paraId="09535482" w14:textId="77777777" w:rsidTr="00FE2608">
        <w:trPr>
          <w:trHeight w:hRule="exact" w:val="725"/>
          <w:jc w:val="center"/>
        </w:trPr>
        <w:tc>
          <w:tcPr>
            <w:tcW w:w="146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F8BC0F" w14:textId="77777777" w:rsidR="007C1C01" w:rsidRDefault="003E0CC5">
            <w:pPr>
              <w:pStyle w:val="Other0"/>
            </w:pPr>
            <w:r>
              <w:rPr>
                <w:rStyle w:val="Other"/>
                <w:i/>
                <w:iCs/>
              </w:rPr>
              <w:t>1. Dėl korupcijos rizikos valdant (naudojant) nekilnojamąjį turtą ir perduodant tretiesiems asmenims laikinai juo naudotis (suteikiant panaudos teise ir išnuomojant )mažinimo:</w:t>
            </w:r>
          </w:p>
        </w:tc>
      </w:tr>
      <w:tr w:rsidR="007C1C01" w14:paraId="06C48779" w14:textId="77777777" w:rsidTr="00AE2B1D">
        <w:trPr>
          <w:trHeight w:hRule="exact" w:val="3856"/>
          <w:jc w:val="center"/>
        </w:trPr>
        <w:tc>
          <w:tcPr>
            <w:tcW w:w="846" w:type="dxa"/>
            <w:tcBorders>
              <w:top w:val="single" w:sz="4" w:space="0" w:color="auto"/>
              <w:left w:val="single" w:sz="4" w:space="0" w:color="auto"/>
              <w:bottom w:val="single" w:sz="4" w:space="0" w:color="auto"/>
            </w:tcBorders>
            <w:shd w:val="clear" w:color="auto" w:fill="auto"/>
          </w:tcPr>
          <w:p w14:paraId="5CDDB686" w14:textId="77777777" w:rsidR="007C1C01" w:rsidRDefault="003E0CC5" w:rsidP="005F5640">
            <w:pPr>
              <w:pStyle w:val="Other0"/>
              <w:spacing w:before="100"/>
              <w:ind w:left="142" w:right="293"/>
            </w:pPr>
            <w:r>
              <w:rPr>
                <w:rStyle w:val="Other"/>
              </w:rPr>
              <w:t>1.1</w:t>
            </w:r>
          </w:p>
        </w:tc>
        <w:tc>
          <w:tcPr>
            <w:tcW w:w="4266" w:type="dxa"/>
            <w:tcBorders>
              <w:top w:val="single" w:sz="4" w:space="0" w:color="auto"/>
              <w:left w:val="single" w:sz="4" w:space="0" w:color="auto"/>
              <w:bottom w:val="single" w:sz="4" w:space="0" w:color="auto"/>
            </w:tcBorders>
            <w:shd w:val="clear" w:color="auto" w:fill="auto"/>
          </w:tcPr>
          <w:p w14:paraId="40B00E78" w14:textId="77777777" w:rsidR="007C1C01" w:rsidRDefault="003E0CC5" w:rsidP="005F5640">
            <w:pPr>
              <w:pStyle w:val="Other0"/>
              <w:ind w:left="142" w:right="293"/>
              <w:jc w:val="both"/>
            </w:pPr>
            <w:r>
              <w:rPr>
                <w:rStyle w:val="Other"/>
              </w:rPr>
              <w:t>Vidiniuose teisės aktuose aiškiai apibrėžti perduoto pagal panaudos sutartis nekilnojamojo turto naudojimo kontrolės ir priežiūros procedūras, tikrinimo tvarką, nustatant inventorizacijos etapus, dalyvaujančius subjektus, užtikrinant, kad kiekvienais metais Švietimo ir mokslo ministerijos atstovai dalyvautų institucijų, kurioms perduotas panaudos pagrindais turtas inventorizacijos procese.</w:t>
            </w:r>
          </w:p>
        </w:tc>
        <w:tc>
          <w:tcPr>
            <w:tcW w:w="5656" w:type="dxa"/>
            <w:vMerge w:val="restart"/>
            <w:tcBorders>
              <w:top w:val="single" w:sz="4" w:space="0" w:color="auto"/>
              <w:left w:val="single" w:sz="4" w:space="0" w:color="auto"/>
              <w:bottom w:val="single" w:sz="4" w:space="0" w:color="auto"/>
            </w:tcBorders>
            <w:shd w:val="clear" w:color="auto" w:fill="auto"/>
          </w:tcPr>
          <w:p w14:paraId="3D27D8A0" w14:textId="77777777" w:rsidR="007C1C01" w:rsidRDefault="003E0CC5" w:rsidP="005F5640">
            <w:pPr>
              <w:pStyle w:val="Other0"/>
              <w:ind w:left="142" w:right="293"/>
              <w:jc w:val="both"/>
            </w:pPr>
            <w:r>
              <w:rPr>
                <w:rStyle w:val="Other"/>
              </w:rPr>
              <w:t xml:space="preserve">Švietimo ir mokslo ministerija informavo, kad Lietuvos Respublikos švietimo ir mokslo ministro 2018 m. kovo 30 d. įsakymu Nr. 308 „Dėl Švietimo ir mokslo ministerijos ilgalaikio ir trumpalaikio materialiojo bei nematerialiojo turto, perduoto pagal panaudos sutartis, valdymo ir naudojimo taisyklių patvirtinimo“ patvirtintos naujos Švietimo ir mokslo ministerijos ilgalaikio ir trumpalaikio materialiojo bei nematerialiojo turto, perduoto pagal panaudos sutartis, valdymo ir naudojimo taisyklės, kuriose atnaujinta perduoto pagal panaudos sutartis nekilnojamojo turto naudojimo kontrolės, priežiūros, inventorizacijos procedūrų tvarka, papildant foto fiksacijos prievole, </w:t>
            </w:r>
            <w:r>
              <w:rPr>
                <w:rStyle w:val="Other"/>
              </w:rPr>
              <w:lastRenderedPageBreak/>
              <w:t>taip pat įteisinta prievolė kasmet teikti ministerijai Turto, gauto pagal panaudos sutartis, naudojimo ataskaitą pagal pridedamą pavyzdinę ataskaitos formą.</w:t>
            </w:r>
          </w:p>
        </w:tc>
        <w:tc>
          <w:tcPr>
            <w:tcW w:w="3843" w:type="dxa"/>
            <w:vMerge w:val="restart"/>
            <w:tcBorders>
              <w:top w:val="single" w:sz="4" w:space="0" w:color="auto"/>
              <w:left w:val="single" w:sz="4" w:space="0" w:color="auto"/>
              <w:bottom w:val="single" w:sz="4" w:space="0" w:color="auto"/>
              <w:right w:val="single" w:sz="4" w:space="0" w:color="auto"/>
            </w:tcBorders>
            <w:shd w:val="clear" w:color="auto" w:fill="auto"/>
          </w:tcPr>
          <w:p w14:paraId="6CB09377" w14:textId="7368C024" w:rsidR="007C1C01" w:rsidRDefault="006E3ECC" w:rsidP="005F5640">
            <w:pPr>
              <w:pStyle w:val="Other0"/>
              <w:ind w:left="142" w:right="293"/>
              <w:rPr>
                <w:rStyle w:val="Other"/>
                <w:b/>
                <w:bCs/>
                <w:color w:val="00B050"/>
              </w:rPr>
            </w:pPr>
            <w:r>
              <w:rPr>
                <w:rStyle w:val="Other"/>
                <w:b/>
                <w:bCs/>
                <w:color w:val="00B050"/>
              </w:rPr>
              <w:lastRenderedPageBreak/>
              <w:t>Į</w:t>
            </w:r>
            <w:r w:rsidR="003E0CC5" w:rsidRPr="005F5640">
              <w:rPr>
                <w:rStyle w:val="Other"/>
                <w:b/>
                <w:bCs/>
                <w:color w:val="00B050"/>
              </w:rPr>
              <w:t>gyvendint</w:t>
            </w:r>
            <w:r>
              <w:rPr>
                <w:rStyle w:val="Other"/>
                <w:b/>
                <w:bCs/>
                <w:color w:val="00B050"/>
              </w:rPr>
              <w:t>a</w:t>
            </w:r>
            <w:r w:rsidR="003E0CC5" w:rsidRPr="005F5640">
              <w:rPr>
                <w:rStyle w:val="Other"/>
                <w:b/>
                <w:bCs/>
                <w:color w:val="00B050"/>
              </w:rPr>
              <w:t>.</w:t>
            </w:r>
          </w:p>
          <w:p w14:paraId="4A5CCBB5" w14:textId="77777777" w:rsidR="006E3ECC" w:rsidRDefault="006E3ECC" w:rsidP="005F5640">
            <w:pPr>
              <w:pStyle w:val="Other0"/>
              <w:ind w:left="142" w:right="293"/>
              <w:rPr>
                <w:rStyle w:val="Other"/>
              </w:rPr>
            </w:pPr>
            <w:r>
              <w:rPr>
                <w:rStyle w:val="Other"/>
              </w:rPr>
              <w:t>Pastabų ir pasiūlymų nėra</w:t>
            </w:r>
          </w:p>
          <w:p w14:paraId="3CAE5375" w14:textId="7646E000" w:rsidR="006E3ECC" w:rsidRPr="006E3ECC" w:rsidRDefault="006E3ECC" w:rsidP="005F5640">
            <w:pPr>
              <w:pStyle w:val="Other0"/>
              <w:ind w:left="142" w:right="293"/>
              <w:rPr>
                <w:color w:val="auto"/>
              </w:rPr>
            </w:pPr>
            <w:r>
              <w:rPr>
                <w:rStyle w:val="Other"/>
              </w:rPr>
              <w:t>Stebėsena baigta</w:t>
            </w:r>
          </w:p>
        </w:tc>
      </w:tr>
      <w:tr w:rsidR="007C1C01" w14:paraId="15FF32D1" w14:textId="77777777" w:rsidTr="00897D43">
        <w:trPr>
          <w:trHeight w:hRule="exact" w:val="2616"/>
          <w:jc w:val="center"/>
        </w:trPr>
        <w:tc>
          <w:tcPr>
            <w:tcW w:w="846" w:type="dxa"/>
            <w:tcBorders>
              <w:top w:val="single" w:sz="4" w:space="0" w:color="auto"/>
              <w:left w:val="single" w:sz="4" w:space="0" w:color="auto"/>
            </w:tcBorders>
            <w:shd w:val="clear" w:color="auto" w:fill="auto"/>
          </w:tcPr>
          <w:p w14:paraId="3C8DE9E0" w14:textId="77777777" w:rsidR="007C1C01" w:rsidRDefault="003E0CC5" w:rsidP="005F5640">
            <w:pPr>
              <w:pStyle w:val="Other0"/>
              <w:spacing w:before="100"/>
              <w:ind w:left="142" w:right="293"/>
            </w:pPr>
            <w:r>
              <w:rPr>
                <w:rStyle w:val="Other"/>
              </w:rPr>
              <w:lastRenderedPageBreak/>
              <w:t>1.2.</w:t>
            </w:r>
          </w:p>
        </w:tc>
        <w:tc>
          <w:tcPr>
            <w:tcW w:w="4266" w:type="dxa"/>
            <w:tcBorders>
              <w:top w:val="single" w:sz="4" w:space="0" w:color="auto"/>
              <w:left w:val="single" w:sz="4" w:space="0" w:color="auto"/>
            </w:tcBorders>
            <w:shd w:val="clear" w:color="auto" w:fill="auto"/>
          </w:tcPr>
          <w:p w14:paraId="2B5203B4" w14:textId="77777777" w:rsidR="007C1C01" w:rsidRDefault="003E0CC5" w:rsidP="005F5640">
            <w:pPr>
              <w:pStyle w:val="Other0"/>
              <w:ind w:left="142" w:right="293"/>
              <w:jc w:val="both"/>
            </w:pPr>
            <w:r>
              <w:rPr>
                <w:rStyle w:val="Other"/>
              </w:rPr>
              <w:t>Nustatyti nekilnojamojo turto būklės tikrinimo ir fiksavimo sistemą, periodiškai (pavyzdžiui kas 2-3 metus) atliekant nekilnojamojo būklės vertinimus, pavyzdžiui, foto fiksaciją pradžioje, suteikiant nekilnojamą turtą panaudos pagrindais ir sudarant sutartis, nekilnojamojo turto naudojimo eigoje bei sutarties pabaigoje.</w:t>
            </w:r>
          </w:p>
        </w:tc>
        <w:tc>
          <w:tcPr>
            <w:tcW w:w="5656" w:type="dxa"/>
            <w:vMerge/>
            <w:tcBorders>
              <w:top w:val="single" w:sz="4" w:space="0" w:color="auto"/>
              <w:left w:val="single" w:sz="4" w:space="0" w:color="auto"/>
            </w:tcBorders>
            <w:shd w:val="clear" w:color="auto" w:fill="auto"/>
          </w:tcPr>
          <w:p w14:paraId="0464D541" w14:textId="77777777" w:rsidR="007C1C01" w:rsidRDefault="007C1C01" w:rsidP="005F5640">
            <w:pPr>
              <w:ind w:left="142" w:right="293"/>
            </w:pPr>
          </w:p>
        </w:tc>
        <w:tc>
          <w:tcPr>
            <w:tcW w:w="3843" w:type="dxa"/>
            <w:vMerge/>
            <w:tcBorders>
              <w:top w:val="single" w:sz="4" w:space="0" w:color="auto"/>
              <w:left w:val="single" w:sz="4" w:space="0" w:color="auto"/>
              <w:right w:val="single" w:sz="4" w:space="0" w:color="auto"/>
            </w:tcBorders>
            <w:shd w:val="clear" w:color="auto" w:fill="auto"/>
          </w:tcPr>
          <w:p w14:paraId="2B55CF51" w14:textId="77777777" w:rsidR="007C1C01" w:rsidRDefault="007C1C01" w:rsidP="005F5640">
            <w:pPr>
              <w:ind w:left="142" w:right="293"/>
            </w:pPr>
          </w:p>
        </w:tc>
      </w:tr>
      <w:tr w:rsidR="007C1C01" w14:paraId="4023C08A" w14:textId="77777777" w:rsidTr="00274524">
        <w:trPr>
          <w:trHeight w:hRule="exact" w:val="1506"/>
          <w:jc w:val="center"/>
        </w:trPr>
        <w:tc>
          <w:tcPr>
            <w:tcW w:w="846" w:type="dxa"/>
            <w:tcBorders>
              <w:top w:val="single" w:sz="4" w:space="0" w:color="auto"/>
              <w:left w:val="single" w:sz="4" w:space="0" w:color="auto"/>
            </w:tcBorders>
            <w:shd w:val="clear" w:color="auto" w:fill="auto"/>
          </w:tcPr>
          <w:p w14:paraId="7A4D2DFA" w14:textId="77777777" w:rsidR="007C1C01" w:rsidRDefault="003E0CC5" w:rsidP="005F5640">
            <w:pPr>
              <w:pStyle w:val="Other0"/>
              <w:spacing w:before="100"/>
              <w:ind w:left="142" w:right="293"/>
            </w:pPr>
            <w:r>
              <w:rPr>
                <w:rStyle w:val="Other"/>
              </w:rPr>
              <w:t>1.3.</w:t>
            </w:r>
          </w:p>
        </w:tc>
        <w:tc>
          <w:tcPr>
            <w:tcW w:w="4266" w:type="dxa"/>
            <w:tcBorders>
              <w:top w:val="single" w:sz="4" w:space="0" w:color="auto"/>
              <w:left w:val="single" w:sz="4" w:space="0" w:color="auto"/>
            </w:tcBorders>
            <w:shd w:val="clear" w:color="auto" w:fill="auto"/>
          </w:tcPr>
          <w:p w14:paraId="7DE9B68B" w14:textId="77777777" w:rsidR="007C1C01" w:rsidRDefault="003E0CC5" w:rsidP="005F5640">
            <w:pPr>
              <w:pStyle w:val="Other0"/>
              <w:ind w:left="142" w:right="293"/>
              <w:jc w:val="both"/>
            </w:pPr>
            <w:r>
              <w:rPr>
                <w:rStyle w:val="Other"/>
              </w:rPr>
              <w:t>Atnaujinti Turto perduodamo pagal panaudos sutartis taisykles, pagal aktualios redakcijos Turto valdymo, naudojimo ir disponavimo juo įstatymo nuostatas.</w:t>
            </w:r>
          </w:p>
        </w:tc>
        <w:tc>
          <w:tcPr>
            <w:tcW w:w="5656" w:type="dxa"/>
            <w:vMerge/>
            <w:tcBorders>
              <w:left w:val="single" w:sz="4" w:space="0" w:color="auto"/>
            </w:tcBorders>
            <w:shd w:val="clear" w:color="auto" w:fill="auto"/>
          </w:tcPr>
          <w:p w14:paraId="0A0CF3E7" w14:textId="77777777" w:rsidR="007C1C01" w:rsidRDefault="007C1C01" w:rsidP="005F5640">
            <w:pPr>
              <w:ind w:left="142" w:right="293"/>
            </w:pPr>
          </w:p>
        </w:tc>
        <w:tc>
          <w:tcPr>
            <w:tcW w:w="3843" w:type="dxa"/>
            <w:vMerge/>
            <w:tcBorders>
              <w:left w:val="single" w:sz="4" w:space="0" w:color="auto"/>
              <w:right w:val="single" w:sz="4" w:space="0" w:color="auto"/>
            </w:tcBorders>
            <w:shd w:val="clear" w:color="auto" w:fill="auto"/>
          </w:tcPr>
          <w:p w14:paraId="2DF58CB5" w14:textId="77777777" w:rsidR="007C1C01" w:rsidRDefault="007C1C01" w:rsidP="005F5640">
            <w:pPr>
              <w:ind w:left="142" w:right="293"/>
            </w:pPr>
          </w:p>
        </w:tc>
      </w:tr>
      <w:tr w:rsidR="007C1C01" w14:paraId="5C77C1E2" w14:textId="77777777" w:rsidTr="00897D43">
        <w:trPr>
          <w:trHeight w:hRule="exact" w:val="1243"/>
          <w:jc w:val="center"/>
        </w:trPr>
        <w:tc>
          <w:tcPr>
            <w:tcW w:w="846" w:type="dxa"/>
            <w:tcBorders>
              <w:top w:val="single" w:sz="4" w:space="0" w:color="auto"/>
              <w:left w:val="single" w:sz="4" w:space="0" w:color="auto"/>
              <w:bottom w:val="single" w:sz="4" w:space="0" w:color="auto"/>
            </w:tcBorders>
            <w:shd w:val="clear" w:color="auto" w:fill="auto"/>
          </w:tcPr>
          <w:p w14:paraId="369E3E3B" w14:textId="77777777" w:rsidR="007C1C01" w:rsidRDefault="003E0CC5" w:rsidP="005F5640">
            <w:pPr>
              <w:pStyle w:val="Other0"/>
              <w:spacing w:before="100"/>
              <w:ind w:left="142" w:right="293"/>
            </w:pPr>
            <w:r>
              <w:rPr>
                <w:rStyle w:val="Other"/>
              </w:rPr>
              <w:t>1.4.</w:t>
            </w:r>
          </w:p>
        </w:tc>
        <w:tc>
          <w:tcPr>
            <w:tcW w:w="4266" w:type="dxa"/>
            <w:tcBorders>
              <w:top w:val="single" w:sz="4" w:space="0" w:color="auto"/>
              <w:left w:val="single" w:sz="4" w:space="0" w:color="auto"/>
              <w:bottom w:val="single" w:sz="4" w:space="0" w:color="auto"/>
            </w:tcBorders>
            <w:shd w:val="clear" w:color="auto" w:fill="auto"/>
          </w:tcPr>
          <w:p w14:paraId="6FC63DF0" w14:textId="77777777" w:rsidR="007C1C01" w:rsidRDefault="003E0CC5" w:rsidP="005F5640">
            <w:pPr>
              <w:pStyle w:val="Other0"/>
              <w:ind w:left="142" w:right="293"/>
              <w:jc w:val="both"/>
            </w:pPr>
            <w:r>
              <w:rPr>
                <w:rStyle w:val="Other"/>
              </w:rPr>
              <w:t>Imtis priemonių ir suformuoti aiškią ir griežtą draudimo liudijimų (polisų) pateikimo praktiką ir savalaikiai kontroliuoti šios prievolės vykdymą.</w:t>
            </w:r>
          </w:p>
        </w:tc>
        <w:tc>
          <w:tcPr>
            <w:tcW w:w="5656" w:type="dxa"/>
            <w:vMerge/>
            <w:tcBorders>
              <w:left w:val="single" w:sz="4" w:space="0" w:color="auto"/>
              <w:bottom w:val="single" w:sz="4" w:space="0" w:color="auto"/>
            </w:tcBorders>
            <w:shd w:val="clear" w:color="auto" w:fill="auto"/>
          </w:tcPr>
          <w:p w14:paraId="23431E98" w14:textId="77777777" w:rsidR="007C1C01" w:rsidRDefault="007C1C01" w:rsidP="005F5640">
            <w:pPr>
              <w:ind w:left="142" w:right="293"/>
            </w:pPr>
          </w:p>
        </w:tc>
        <w:tc>
          <w:tcPr>
            <w:tcW w:w="3843" w:type="dxa"/>
            <w:vMerge/>
            <w:tcBorders>
              <w:left w:val="single" w:sz="4" w:space="0" w:color="auto"/>
              <w:bottom w:val="single" w:sz="4" w:space="0" w:color="auto"/>
              <w:right w:val="single" w:sz="4" w:space="0" w:color="auto"/>
            </w:tcBorders>
            <w:shd w:val="clear" w:color="auto" w:fill="auto"/>
          </w:tcPr>
          <w:p w14:paraId="60F9712D" w14:textId="77777777" w:rsidR="007C1C01" w:rsidRDefault="007C1C01" w:rsidP="005F5640">
            <w:pPr>
              <w:ind w:left="142" w:right="293"/>
            </w:pPr>
          </w:p>
        </w:tc>
      </w:tr>
      <w:tr w:rsidR="00630F51" w14:paraId="61C0F9FC" w14:textId="77777777" w:rsidTr="007134FF">
        <w:trPr>
          <w:trHeight w:hRule="exact" w:val="5103"/>
          <w:jc w:val="center"/>
        </w:trPr>
        <w:tc>
          <w:tcPr>
            <w:tcW w:w="846" w:type="dxa"/>
            <w:vMerge w:val="restart"/>
            <w:tcBorders>
              <w:top w:val="single" w:sz="4" w:space="0" w:color="auto"/>
              <w:left w:val="single" w:sz="4" w:space="0" w:color="auto"/>
            </w:tcBorders>
            <w:shd w:val="clear" w:color="auto" w:fill="auto"/>
          </w:tcPr>
          <w:p w14:paraId="6EE21BAF" w14:textId="77777777" w:rsidR="00630F51" w:rsidRDefault="00630F51" w:rsidP="005F5640">
            <w:pPr>
              <w:pStyle w:val="Other0"/>
              <w:spacing w:before="100"/>
              <w:ind w:left="142" w:right="293"/>
            </w:pPr>
            <w:r>
              <w:rPr>
                <w:rStyle w:val="Other"/>
              </w:rPr>
              <w:lastRenderedPageBreak/>
              <w:t>1.5.</w:t>
            </w:r>
          </w:p>
        </w:tc>
        <w:tc>
          <w:tcPr>
            <w:tcW w:w="4266" w:type="dxa"/>
            <w:tcBorders>
              <w:top w:val="single" w:sz="4" w:space="0" w:color="auto"/>
              <w:left w:val="single" w:sz="4" w:space="0" w:color="auto"/>
            </w:tcBorders>
            <w:shd w:val="clear" w:color="auto" w:fill="auto"/>
          </w:tcPr>
          <w:p w14:paraId="734CF332" w14:textId="77777777" w:rsidR="00630F51" w:rsidRDefault="00630F51" w:rsidP="005F5640">
            <w:pPr>
              <w:pStyle w:val="Other0"/>
              <w:ind w:left="142" w:right="293"/>
              <w:jc w:val="both"/>
            </w:pPr>
            <w:r>
              <w:rPr>
                <w:rStyle w:val="Other"/>
              </w:rPr>
              <w:t>Keisti sutarčių nuostatas ir jose išsamiai detalizuoti kokiai įstaigų įstatuose numatytai (-</w:t>
            </w:r>
            <w:proofErr w:type="spellStart"/>
            <w:r>
              <w:rPr>
                <w:rStyle w:val="Other"/>
              </w:rPr>
              <w:t>oms</w:t>
            </w:r>
            <w:proofErr w:type="spellEnd"/>
            <w:r>
              <w:rPr>
                <w:rStyle w:val="Other"/>
              </w:rPr>
              <w:t>) veiklai (-</w:t>
            </w:r>
            <w:proofErr w:type="spellStart"/>
            <w:r>
              <w:rPr>
                <w:rStyle w:val="Other"/>
              </w:rPr>
              <w:t>oms</w:t>
            </w:r>
            <w:proofErr w:type="spellEnd"/>
            <w:r>
              <w:rPr>
                <w:rStyle w:val="Other"/>
              </w:rPr>
              <w:t>) vykdyti panaudos davėjas (Švietimo ir mokslo ministerija) perduoda nekilnojamąjį turtą.</w:t>
            </w:r>
          </w:p>
        </w:tc>
        <w:tc>
          <w:tcPr>
            <w:tcW w:w="5656" w:type="dxa"/>
            <w:tcBorders>
              <w:top w:val="single" w:sz="4" w:space="0" w:color="auto"/>
              <w:left w:val="single" w:sz="4" w:space="0" w:color="auto"/>
            </w:tcBorders>
            <w:shd w:val="clear" w:color="auto" w:fill="auto"/>
          </w:tcPr>
          <w:p w14:paraId="6A1AB149" w14:textId="77777777" w:rsidR="00630F51" w:rsidRDefault="00630F51" w:rsidP="005F5640">
            <w:pPr>
              <w:pStyle w:val="Other0"/>
              <w:ind w:left="142" w:right="293"/>
              <w:jc w:val="both"/>
            </w:pPr>
            <w:r>
              <w:rPr>
                <w:rStyle w:val="Other"/>
              </w:rPr>
              <w:t>Švietimo ir mokslo ministerija informavo, kad Lietuvos Respublikos Vyriausybės nutarimų dėl turto perdavimo panaudos pagrindais rengimo praktikoje taikoma nuostata – įrašyti „įstatuose numatytai veiklai vykdyti“, o pradėjus vardyti konkrečias įstatų veiklas, tai būtų laikoma pertekline informacija, tuo labiau, kad tektų keisti nutarimus kaskart pasikeitus viešosios įstaigos įstatams. Panaudos sutartys tėra Lietuvos Respublikos Vyriausybės nutarimus įgyvendinantys dokumentai, tad jose negalime detalizuoti veiklų.</w:t>
            </w:r>
          </w:p>
        </w:tc>
        <w:tc>
          <w:tcPr>
            <w:tcW w:w="3843" w:type="dxa"/>
            <w:tcBorders>
              <w:top w:val="single" w:sz="4" w:space="0" w:color="auto"/>
              <w:left w:val="single" w:sz="4" w:space="0" w:color="auto"/>
              <w:right w:val="single" w:sz="4" w:space="0" w:color="auto"/>
            </w:tcBorders>
            <w:shd w:val="clear" w:color="auto" w:fill="auto"/>
          </w:tcPr>
          <w:p w14:paraId="1D101B8F" w14:textId="14A02343" w:rsidR="00630F51" w:rsidRDefault="006E3ECC" w:rsidP="005F5640">
            <w:pPr>
              <w:pStyle w:val="Other0"/>
              <w:ind w:left="142" w:right="293"/>
            </w:pPr>
            <w:r>
              <w:rPr>
                <w:rStyle w:val="Other"/>
                <w:b/>
                <w:bCs/>
                <w:color w:val="FF0000"/>
              </w:rPr>
              <w:t>N</w:t>
            </w:r>
            <w:r w:rsidR="00630F51">
              <w:rPr>
                <w:rStyle w:val="Other"/>
                <w:b/>
                <w:bCs/>
                <w:color w:val="FF0000"/>
              </w:rPr>
              <w:t>eįgyvendinta</w:t>
            </w:r>
          </w:p>
          <w:p w14:paraId="0DFDEEDB" w14:textId="77777777" w:rsidR="00630F51" w:rsidRDefault="00630F51" w:rsidP="005F5640">
            <w:pPr>
              <w:pStyle w:val="Other0"/>
              <w:ind w:left="142" w:right="293"/>
              <w:jc w:val="both"/>
            </w:pPr>
            <w:r>
              <w:rPr>
                <w:rStyle w:val="Other"/>
              </w:rPr>
              <w:t>Sutinkame su Švietimo ir mokslo ministerijos nuostata, kad Lietuvos Respublikos Vyriausybės nutarimuose dėl turto perdavimo panaudos pagrindais perteklinės informacijos vardinti nereikėtų, tačiau pasiūlymas buvo formuluojamas ne Lietuvos Vyriausybės nutarimų pakeitimui, o Švietimo ir mokslo ministerijos ir panaudos gavėjų sutarčių nuostatoms, todėl siūlome pakartotinai svarstyti dėl pasiūlymo įgyvendinimo.</w:t>
            </w:r>
          </w:p>
        </w:tc>
      </w:tr>
      <w:tr w:rsidR="00630F51" w14:paraId="3C6AAD96" w14:textId="77777777" w:rsidTr="00897D43">
        <w:trPr>
          <w:trHeight w:hRule="exact" w:val="4824"/>
          <w:jc w:val="center"/>
        </w:trPr>
        <w:tc>
          <w:tcPr>
            <w:tcW w:w="846" w:type="dxa"/>
            <w:vMerge/>
            <w:tcBorders>
              <w:left w:val="single" w:sz="4" w:space="0" w:color="auto"/>
              <w:bottom w:val="single" w:sz="4" w:space="0" w:color="auto"/>
            </w:tcBorders>
            <w:shd w:val="clear" w:color="auto" w:fill="auto"/>
          </w:tcPr>
          <w:p w14:paraId="18085876" w14:textId="77777777" w:rsidR="00630F51" w:rsidRDefault="00630F51" w:rsidP="005F5640">
            <w:pPr>
              <w:pStyle w:val="Other0"/>
              <w:spacing w:before="100"/>
              <w:ind w:left="142" w:right="293"/>
              <w:rPr>
                <w:rStyle w:val="Other"/>
              </w:rPr>
            </w:pPr>
          </w:p>
        </w:tc>
        <w:tc>
          <w:tcPr>
            <w:tcW w:w="4266" w:type="dxa"/>
            <w:tcBorders>
              <w:top w:val="single" w:sz="4" w:space="0" w:color="auto"/>
              <w:left w:val="single" w:sz="4" w:space="0" w:color="auto"/>
              <w:bottom w:val="single" w:sz="4" w:space="0" w:color="auto"/>
            </w:tcBorders>
            <w:shd w:val="clear" w:color="auto" w:fill="auto"/>
          </w:tcPr>
          <w:p w14:paraId="13367745" w14:textId="77777777" w:rsidR="00630F51" w:rsidRDefault="00630F51" w:rsidP="005F5640">
            <w:pPr>
              <w:pStyle w:val="Other0"/>
              <w:ind w:left="142" w:right="293"/>
              <w:jc w:val="both"/>
              <w:rPr>
                <w:rStyle w:val="Other"/>
              </w:rPr>
            </w:pPr>
          </w:p>
        </w:tc>
        <w:tc>
          <w:tcPr>
            <w:tcW w:w="5656" w:type="dxa"/>
            <w:tcBorders>
              <w:top w:val="single" w:sz="4" w:space="0" w:color="auto"/>
              <w:left w:val="single" w:sz="4" w:space="0" w:color="auto"/>
              <w:bottom w:val="single" w:sz="4" w:space="0" w:color="auto"/>
            </w:tcBorders>
            <w:shd w:val="clear" w:color="auto" w:fill="auto"/>
          </w:tcPr>
          <w:p w14:paraId="765F3309" w14:textId="77777777" w:rsidR="00630F51" w:rsidRPr="00630F51" w:rsidRDefault="00630F51" w:rsidP="005F5640">
            <w:pPr>
              <w:pStyle w:val="Other0"/>
              <w:ind w:left="142" w:right="293"/>
              <w:jc w:val="both"/>
              <w:rPr>
                <w:rStyle w:val="Other"/>
                <w:b/>
                <w:bCs/>
              </w:rPr>
            </w:pPr>
            <w:r w:rsidRPr="00630F51">
              <w:rPr>
                <w:rStyle w:val="Other"/>
                <w:b/>
                <w:bCs/>
              </w:rPr>
              <w:t>2024-09-23</w:t>
            </w:r>
          </w:p>
          <w:p w14:paraId="2B8A41B9" w14:textId="41757DA2" w:rsidR="00630F51" w:rsidRDefault="00630F51" w:rsidP="005F5640">
            <w:pPr>
              <w:pStyle w:val="Other0"/>
              <w:ind w:left="142" w:right="293"/>
              <w:jc w:val="both"/>
              <w:rPr>
                <w:rStyle w:val="Other"/>
              </w:rPr>
            </w:pPr>
            <w:r>
              <w:rPr>
                <w:rStyle w:val="Other"/>
              </w:rPr>
              <w:t xml:space="preserve">Įtraukta </w:t>
            </w:r>
            <w:r w:rsidR="006E3ECC">
              <w:rPr>
                <w:rStyle w:val="Other"/>
              </w:rPr>
              <w:t xml:space="preserve">į </w:t>
            </w:r>
            <w:bookmarkStart w:id="6" w:name="_Hlk178861628"/>
            <w:r w:rsidR="006E3ECC">
              <w:rPr>
                <w:rStyle w:val="Other"/>
              </w:rPr>
              <w:t xml:space="preserve">ŠMSM korupcijos prevencijos veiksmų 2024-2028 m. plano projektą </w:t>
            </w:r>
            <w:bookmarkEnd w:id="6"/>
            <w:r>
              <w:rPr>
                <w:rStyle w:val="Other"/>
              </w:rPr>
              <w:t>kaip atskira priemonė</w:t>
            </w:r>
            <w:r w:rsidR="006E3ECC">
              <w:rPr>
                <w:rStyle w:val="Other"/>
              </w:rPr>
              <w:t xml:space="preserve"> „</w:t>
            </w:r>
            <w:r w:rsidR="006E3ECC" w:rsidRPr="006E3ECC">
              <w:rPr>
                <w:i/>
                <w:iCs/>
              </w:rPr>
              <w:t>ŠMSM sudarant naujas panaudos sutartis arba atsiradus poreikiui atlikti jau sudarytų sutarčių dėl panaudos pakeitimus patikslinamos nuostatos, kokiai įstaigų įstatuose numatytai veiklai ar veikloms vykdyti perduodamas turtas panaudos pagrindais</w:t>
            </w:r>
            <w:r w:rsidR="006E3ECC">
              <w:t>“</w:t>
            </w:r>
            <w:r>
              <w:rPr>
                <w:rStyle w:val="Other"/>
              </w:rPr>
              <w:t xml:space="preserve"> (P</w:t>
            </w:r>
            <w:r w:rsidR="0028774E">
              <w:rPr>
                <w:rStyle w:val="Other"/>
              </w:rPr>
              <w:t xml:space="preserve"> </w:t>
            </w:r>
            <w:r>
              <w:rPr>
                <w:rStyle w:val="Other"/>
              </w:rPr>
              <w:t>2.1.11 p.)</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457591C" w14:textId="77777777" w:rsidR="00630F51" w:rsidRDefault="00630F51" w:rsidP="005F5640">
            <w:pPr>
              <w:pStyle w:val="Other0"/>
              <w:ind w:left="142" w:right="293"/>
              <w:jc w:val="both"/>
              <w:rPr>
                <w:rStyle w:val="Other"/>
                <w:b/>
                <w:bCs/>
              </w:rPr>
            </w:pPr>
            <w:r>
              <w:rPr>
                <w:rStyle w:val="Other"/>
                <w:b/>
                <w:bCs/>
              </w:rPr>
              <w:t>2024-10-03</w:t>
            </w:r>
          </w:p>
          <w:p w14:paraId="395439DA" w14:textId="77777777" w:rsidR="00630F51" w:rsidRPr="00630F51" w:rsidRDefault="00630F51" w:rsidP="005F5640">
            <w:pPr>
              <w:pStyle w:val="Other0"/>
              <w:ind w:left="142" w:right="293"/>
              <w:jc w:val="both"/>
              <w:rPr>
                <w:rStyle w:val="Other"/>
                <w:b/>
                <w:bCs/>
                <w:color w:val="00B0F0"/>
              </w:rPr>
            </w:pPr>
            <w:r w:rsidRPr="00630F51">
              <w:rPr>
                <w:rStyle w:val="Other"/>
                <w:b/>
                <w:bCs/>
                <w:color w:val="00B0F0"/>
              </w:rPr>
              <w:t>Planuojama įgyvendinti</w:t>
            </w:r>
          </w:p>
          <w:p w14:paraId="401BFF84" w14:textId="0D264A31" w:rsidR="006E3ECC" w:rsidRDefault="006E3ECC" w:rsidP="005F5640">
            <w:pPr>
              <w:pStyle w:val="Other0"/>
              <w:ind w:left="142" w:right="293"/>
              <w:jc w:val="both"/>
              <w:rPr>
                <w:rStyle w:val="Other"/>
              </w:rPr>
            </w:pPr>
          </w:p>
          <w:p w14:paraId="72081DC3" w14:textId="46208BD1" w:rsidR="006E3ECC" w:rsidRPr="00630F51" w:rsidRDefault="006E3ECC" w:rsidP="005F5640">
            <w:pPr>
              <w:pStyle w:val="Other0"/>
              <w:ind w:left="142" w:right="293"/>
              <w:jc w:val="both"/>
              <w:rPr>
                <w:rStyle w:val="Other"/>
              </w:rPr>
            </w:pPr>
            <w:r>
              <w:rPr>
                <w:rStyle w:val="Other"/>
              </w:rPr>
              <w:t xml:space="preserve">Stebėsena </w:t>
            </w:r>
            <w:r w:rsidR="0028774E">
              <w:rPr>
                <w:rStyle w:val="Other"/>
              </w:rPr>
              <w:t>tęsiama</w:t>
            </w:r>
          </w:p>
        </w:tc>
      </w:tr>
      <w:tr w:rsidR="007C1C01" w14:paraId="08E55B27" w14:textId="77777777" w:rsidTr="00897D43">
        <w:trPr>
          <w:trHeight w:hRule="exact" w:val="5680"/>
          <w:jc w:val="center"/>
        </w:trPr>
        <w:tc>
          <w:tcPr>
            <w:tcW w:w="846" w:type="dxa"/>
            <w:tcBorders>
              <w:top w:val="single" w:sz="4" w:space="0" w:color="auto"/>
              <w:left w:val="single" w:sz="4" w:space="0" w:color="auto"/>
              <w:bottom w:val="single" w:sz="4" w:space="0" w:color="auto"/>
            </w:tcBorders>
            <w:shd w:val="clear" w:color="auto" w:fill="auto"/>
          </w:tcPr>
          <w:p w14:paraId="43431BC1" w14:textId="77777777" w:rsidR="007C1C01" w:rsidRDefault="003E0CC5" w:rsidP="005F5640">
            <w:pPr>
              <w:pStyle w:val="Other0"/>
              <w:spacing w:before="100"/>
              <w:ind w:left="142" w:right="293"/>
            </w:pPr>
            <w:r>
              <w:rPr>
                <w:rStyle w:val="Other"/>
              </w:rPr>
              <w:lastRenderedPageBreak/>
              <w:t>1.6.</w:t>
            </w:r>
          </w:p>
        </w:tc>
        <w:tc>
          <w:tcPr>
            <w:tcW w:w="4266" w:type="dxa"/>
            <w:tcBorders>
              <w:top w:val="single" w:sz="4" w:space="0" w:color="auto"/>
              <w:left w:val="single" w:sz="4" w:space="0" w:color="auto"/>
              <w:bottom w:val="single" w:sz="4" w:space="0" w:color="auto"/>
            </w:tcBorders>
            <w:shd w:val="clear" w:color="auto" w:fill="auto"/>
          </w:tcPr>
          <w:p w14:paraId="008C817A" w14:textId="77777777" w:rsidR="007C1C01" w:rsidRDefault="003E0CC5" w:rsidP="005F5640">
            <w:pPr>
              <w:pStyle w:val="Other0"/>
              <w:ind w:left="142" w:right="293"/>
              <w:jc w:val="both"/>
            </w:pPr>
            <w:r>
              <w:rPr>
                <w:rStyle w:val="Other"/>
              </w:rPr>
              <w:t>Nustatyti aiškius ir išsamius reikalavimus ataskaitoms, kuriose būtų atsiskaitoma už kiekvieno panaudai suteikto nekilnojamojo turto objekto naudojimą, nurodant suteiktą naudoti plotą, pastatų unikalius numerius, pastato paskirtį ir informuoti ar jis naudojamas pagal šią paskirtį ar paskirtis yra pakeista, taip pat pateikiant informaciją kokia veikla vykdoma pastatuose, kitose nekilnojamojo turo objektuose, informuoti ar įstaiga, panaudos pagrindais naudodama valstybės turtą, nėra jo išnuomojusi arba perdavusi tretiesiems asmenims neatlygintinai naudotis (jei taip, tai kam, kada ir kaip yra tai padariusi), informuoti apie atliktus arba atliekamus remonto darbus, kas konkrečiai atlikta ir pan.</w:t>
            </w:r>
          </w:p>
        </w:tc>
        <w:tc>
          <w:tcPr>
            <w:tcW w:w="5656" w:type="dxa"/>
            <w:tcBorders>
              <w:top w:val="single" w:sz="4" w:space="0" w:color="auto"/>
              <w:left w:val="single" w:sz="4" w:space="0" w:color="auto"/>
              <w:bottom w:val="single" w:sz="4" w:space="0" w:color="auto"/>
            </w:tcBorders>
            <w:shd w:val="clear" w:color="auto" w:fill="auto"/>
          </w:tcPr>
          <w:p w14:paraId="294FC7F0" w14:textId="77777777" w:rsidR="007C1C01" w:rsidRDefault="003E0CC5" w:rsidP="005F5640">
            <w:pPr>
              <w:pStyle w:val="Other0"/>
              <w:ind w:left="142" w:right="293"/>
              <w:jc w:val="both"/>
            </w:pPr>
            <w:r>
              <w:rPr>
                <w:rStyle w:val="Other"/>
              </w:rPr>
              <w:t>Švietimo ir mokslo ministerija informavo, kad Panaudos taisyklės papildytos ministerijos patvirtinta Turto, gauto pagal panaudos sutartis, naudojimo ataskaita, kurioje įgyvendinti šie STT pasiūlymai, be to, ataskaitoje privaloma teikti informaciją apie turto draudimą ir pateikti anksčiau nepateiktas draudimo liudijimų (polisų) kopijas.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20C88E8" w14:textId="5E757051" w:rsidR="007C1C01" w:rsidRDefault="006E3ECC" w:rsidP="005F5640">
            <w:pPr>
              <w:pStyle w:val="Other0"/>
              <w:ind w:left="142" w:right="293"/>
              <w:jc w:val="both"/>
              <w:rPr>
                <w:rStyle w:val="Other"/>
                <w:b/>
                <w:bCs/>
                <w:color w:val="00B050"/>
              </w:rPr>
            </w:pPr>
            <w:r>
              <w:rPr>
                <w:rStyle w:val="Other"/>
                <w:b/>
                <w:bCs/>
                <w:color w:val="00B050"/>
              </w:rPr>
              <w:t>Į</w:t>
            </w:r>
            <w:r w:rsidR="003E0CC5" w:rsidRPr="006E3ECC">
              <w:rPr>
                <w:rStyle w:val="Other"/>
                <w:b/>
                <w:bCs/>
                <w:color w:val="00B050"/>
              </w:rPr>
              <w:t>gyvendinta</w:t>
            </w:r>
          </w:p>
          <w:p w14:paraId="4B500AE4" w14:textId="7255381B" w:rsidR="006E3ECC" w:rsidRDefault="006E3ECC" w:rsidP="005F5640">
            <w:pPr>
              <w:pStyle w:val="Other0"/>
              <w:ind w:left="142" w:right="293"/>
              <w:jc w:val="both"/>
              <w:rPr>
                <w:rStyle w:val="Other"/>
                <w:color w:val="auto"/>
              </w:rPr>
            </w:pPr>
            <w:r>
              <w:rPr>
                <w:rStyle w:val="Other"/>
                <w:color w:val="auto"/>
              </w:rPr>
              <w:t>Pastabų ir pasiūlymų nėra</w:t>
            </w:r>
          </w:p>
          <w:p w14:paraId="4A56552D" w14:textId="002DA5A8" w:rsidR="006E3ECC" w:rsidRPr="006E3ECC" w:rsidRDefault="006E3ECC" w:rsidP="005F5640">
            <w:pPr>
              <w:pStyle w:val="Other0"/>
              <w:ind w:left="142" w:right="293"/>
              <w:jc w:val="both"/>
              <w:rPr>
                <w:rStyle w:val="Other"/>
                <w:color w:val="auto"/>
              </w:rPr>
            </w:pPr>
            <w:r>
              <w:rPr>
                <w:rStyle w:val="Other"/>
                <w:color w:val="auto"/>
              </w:rPr>
              <w:t>Stebėsena baigta</w:t>
            </w:r>
          </w:p>
          <w:p w14:paraId="74B618E1" w14:textId="0BB1761A" w:rsidR="006E3ECC" w:rsidRPr="006E3ECC" w:rsidRDefault="006E3ECC" w:rsidP="006E3ECC">
            <w:pPr>
              <w:ind w:left="86"/>
            </w:pPr>
          </w:p>
        </w:tc>
      </w:tr>
    </w:tbl>
    <w:p w14:paraId="3367408E" w14:textId="77777777" w:rsidR="007C1C01" w:rsidRDefault="003E0CC5" w:rsidP="005F5640">
      <w:pPr>
        <w:spacing w:line="1" w:lineRule="exact"/>
        <w:ind w:left="142" w:right="293"/>
        <w:rPr>
          <w:sz w:val="2"/>
          <w:szCs w:val="2"/>
        </w:rPr>
      </w:pPr>
      <w:r>
        <w:br w:type="page"/>
      </w:r>
    </w:p>
    <w:tbl>
      <w:tblPr>
        <w:tblW w:w="14611" w:type="dxa"/>
        <w:tblLayout w:type="fixed"/>
        <w:tblCellMar>
          <w:left w:w="10" w:type="dxa"/>
          <w:right w:w="10" w:type="dxa"/>
        </w:tblCellMar>
        <w:tblLook w:val="0000" w:firstRow="0" w:lastRow="0" w:firstColumn="0" w:lastColumn="0" w:noHBand="0" w:noVBand="0"/>
      </w:tblPr>
      <w:tblGrid>
        <w:gridCol w:w="846"/>
        <w:gridCol w:w="4266"/>
        <w:gridCol w:w="5656"/>
        <w:gridCol w:w="3843"/>
      </w:tblGrid>
      <w:tr w:rsidR="00494C1B" w14:paraId="57E4CC1D" w14:textId="77777777" w:rsidTr="00AE2B1D">
        <w:trPr>
          <w:trHeight w:hRule="exact" w:val="7371"/>
        </w:trPr>
        <w:tc>
          <w:tcPr>
            <w:tcW w:w="846" w:type="dxa"/>
            <w:vMerge w:val="restart"/>
            <w:tcBorders>
              <w:top w:val="single" w:sz="4" w:space="0" w:color="auto"/>
              <w:left w:val="single" w:sz="4" w:space="0" w:color="auto"/>
            </w:tcBorders>
            <w:shd w:val="clear" w:color="auto" w:fill="auto"/>
          </w:tcPr>
          <w:p w14:paraId="1B246254" w14:textId="25D3524C" w:rsidR="00494C1B" w:rsidRDefault="00494C1B" w:rsidP="00494C1B">
            <w:pPr>
              <w:pStyle w:val="Other0"/>
              <w:ind w:left="142" w:right="293"/>
              <w:rPr>
                <w:sz w:val="10"/>
                <w:szCs w:val="10"/>
              </w:rPr>
            </w:pPr>
            <w:r w:rsidRPr="00D222D0">
              <w:rPr>
                <w:rStyle w:val="Other"/>
              </w:rPr>
              <w:lastRenderedPageBreak/>
              <w:t>1.7.</w:t>
            </w:r>
          </w:p>
        </w:tc>
        <w:tc>
          <w:tcPr>
            <w:tcW w:w="4266" w:type="dxa"/>
            <w:vMerge w:val="restart"/>
            <w:tcBorders>
              <w:top w:val="single" w:sz="4" w:space="0" w:color="auto"/>
              <w:left w:val="single" w:sz="4" w:space="0" w:color="auto"/>
            </w:tcBorders>
            <w:shd w:val="clear" w:color="auto" w:fill="auto"/>
          </w:tcPr>
          <w:p w14:paraId="5DDCE2B7" w14:textId="26CDEC15" w:rsidR="00494C1B" w:rsidRDefault="00494C1B" w:rsidP="00494C1B">
            <w:pPr>
              <w:pStyle w:val="Other0"/>
              <w:ind w:left="142" w:right="293"/>
              <w:jc w:val="both"/>
            </w:pPr>
            <w:r>
              <w:rPr>
                <w:rStyle w:val="Other"/>
              </w:rPr>
              <w:t>Tobulinti Nuomos arba perdavimo neatlygintinai naudotis panaudos pagrindais tretiesiems asmenims nuostatas, išsamiai detalizuojant visą suderinimo procesą bei jo eigą.</w:t>
            </w:r>
          </w:p>
        </w:tc>
        <w:tc>
          <w:tcPr>
            <w:tcW w:w="5656" w:type="dxa"/>
            <w:tcBorders>
              <w:top w:val="single" w:sz="4" w:space="0" w:color="auto"/>
              <w:left w:val="single" w:sz="4" w:space="0" w:color="auto"/>
              <w:bottom w:val="single" w:sz="4" w:space="0" w:color="auto"/>
            </w:tcBorders>
            <w:shd w:val="clear" w:color="auto" w:fill="auto"/>
          </w:tcPr>
          <w:p w14:paraId="7DF27B24" w14:textId="4311D392" w:rsidR="00494C1B" w:rsidRDefault="00494C1B" w:rsidP="00494C1B">
            <w:pPr>
              <w:pStyle w:val="Other0"/>
              <w:ind w:left="142" w:right="293"/>
              <w:jc w:val="both"/>
            </w:pPr>
            <w:r>
              <w:rPr>
                <w:rStyle w:val="Other"/>
              </w:rPr>
              <w:t>Švietimo ir mokslo ministerija informavo, kad ji kreipėsi į Finansų ministeriją dėl Valstybinėms ir savivaldybių profesinio mokymo įstaigoms,  teisinė forma yra viešoji įstaiga, perduoto panaudos pagrindais valstybės ar savivaldybių turto nuomos arba perdavimo neatlygintinai naudotis panaudos pagrindais tretiesiems asmenims tvarkos aprašo, patvirtinto Lietuvos Respublikos švietimo ir mokslo ministro ir Lietuvos Respublikos finansų ministro 2016 m. kovo 30 d. įsakymu Nr. V- 270/1K-101 „Dėl valstybėms ir savivaldybių profesinio mokymo įstaigoms, kurių teisinė forma yra viešoji įstaiga, perduoto panaudos pagrindais valstybės ar savivaldybių turto nuomos arba perdavimo neatlygintinai naudotis panaudos pagrindais tretiesiems asmenims tvarkos aprašo patvirtinimo“, tobulinimo. Finansų ministerija šiai dienai atsakymo nepateikė, todėl ministerija negali bet Finansų ministerijos pasiūlymų ir suderinimo keisti dėl bendro švietimo ir mokslo ministro ir finansų ministro įsakymo.</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46B1D25" w14:textId="77777777" w:rsidR="00494C1B" w:rsidRDefault="00494C1B" w:rsidP="00494C1B">
            <w:pPr>
              <w:pStyle w:val="Other0"/>
              <w:ind w:left="142" w:right="293"/>
              <w:jc w:val="both"/>
            </w:pPr>
            <w:r>
              <w:rPr>
                <w:rStyle w:val="Other"/>
                <w:b/>
                <w:bCs/>
                <w:color w:val="FF0000"/>
              </w:rPr>
              <w:t>Neįgyvendinta</w:t>
            </w:r>
          </w:p>
          <w:p w14:paraId="5A6B0D29" w14:textId="0676F07B" w:rsidR="00494C1B" w:rsidRDefault="00494C1B" w:rsidP="00494C1B">
            <w:pPr>
              <w:pStyle w:val="Other0"/>
              <w:spacing w:after="240"/>
              <w:ind w:left="142" w:right="293"/>
              <w:jc w:val="both"/>
            </w:pPr>
            <w:r>
              <w:rPr>
                <w:rStyle w:val="Other"/>
              </w:rPr>
              <w:t>Atsižvelgiant į tai, kad 2016 m. kovo 30 d. valstybėms ir savivaldybių profesinio mokymo įstaigoms, kurių teisinė forma yra viešoji įstaiga, perduoto panaudos pagrindais valstybės ar savivaldybių turto nuomos arba perdavimo neatlygintinai naudotis panaudos pagrindais tretiesiems asmenims tvarkos aprašo patvirtinimo“ yra Lietuvos Respublikos švietimo ir mokslo ministro ir Lietuvos Respublikos finansų ministro patvirtintas įsakymas, ir pasiūlymai jį tobulinti buvo pateikti Švietimo ir mokslo ministerijai, manome, kad Švietimo ir mokslo ministerija turėtų imtis iniciatyvos parengti teisės akto pakeitimo projektą ir teikti Lietuvos Respublikos finansų ministerijai derinimui, tam, kad būtų įgyvendinti pateikti pasiūlymai.</w:t>
            </w:r>
          </w:p>
        </w:tc>
      </w:tr>
      <w:tr w:rsidR="00494C1B" w14:paraId="406A0AAB" w14:textId="77777777" w:rsidTr="00897D43">
        <w:trPr>
          <w:trHeight w:hRule="exact" w:val="6105"/>
        </w:trPr>
        <w:tc>
          <w:tcPr>
            <w:tcW w:w="846" w:type="dxa"/>
            <w:vMerge/>
            <w:tcBorders>
              <w:left w:val="single" w:sz="4" w:space="0" w:color="auto"/>
              <w:bottom w:val="single" w:sz="4" w:space="0" w:color="auto"/>
            </w:tcBorders>
            <w:shd w:val="clear" w:color="auto" w:fill="auto"/>
          </w:tcPr>
          <w:p w14:paraId="656546AB" w14:textId="77777777" w:rsidR="00494C1B" w:rsidRPr="00D222D0" w:rsidRDefault="00494C1B" w:rsidP="00494C1B">
            <w:pPr>
              <w:pStyle w:val="Other0"/>
              <w:ind w:left="142" w:right="293"/>
              <w:rPr>
                <w:rStyle w:val="Other"/>
              </w:rPr>
            </w:pPr>
          </w:p>
        </w:tc>
        <w:tc>
          <w:tcPr>
            <w:tcW w:w="4266" w:type="dxa"/>
            <w:vMerge/>
            <w:tcBorders>
              <w:left w:val="single" w:sz="4" w:space="0" w:color="auto"/>
              <w:bottom w:val="single" w:sz="4" w:space="0" w:color="auto"/>
            </w:tcBorders>
            <w:shd w:val="clear" w:color="auto" w:fill="auto"/>
          </w:tcPr>
          <w:p w14:paraId="7954F0A6" w14:textId="77777777" w:rsidR="00494C1B" w:rsidRDefault="00494C1B" w:rsidP="00494C1B">
            <w:pPr>
              <w:pStyle w:val="Other0"/>
              <w:ind w:left="142" w:right="293"/>
              <w:jc w:val="both"/>
              <w:rPr>
                <w:rStyle w:val="Other"/>
              </w:rPr>
            </w:pPr>
          </w:p>
        </w:tc>
        <w:tc>
          <w:tcPr>
            <w:tcW w:w="5656" w:type="dxa"/>
            <w:tcBorders>
              <w:top w:val="single" w:sz="4" w:space="0" w:color="auto"/>
              <w:left w:val="single" w:sz="4" w:space="0" w:color="auto"/>
              <w:bottom w:val="single" w:sz="4" w:space="0" w:color="auto"/>
            </w:tcBorders>
            <w:shd w:val="clear" w:color="auto" w:fill="auto"/>
          </w:tcPr>
          <w:p w14:paraId="5AD51D19" w14:textId="77777777" w:rsidR="00494C1B" w:rsidRPr="00630F51" w:rsidRDefault="00494C1B" w:rsidP="00494C1B">
            <w:pPr>
              <w:pStyle w:val="Other0"/>
              <w:ind w:left="142" w:right="293"/>
              <w:jc w:val="both"/>
              <w:rPr>
                <w:rStyle w:val="Other"/>
                <w:b/>
                <w:bCs/>
              </w:rPr>
            </w:pPr>
            <w:r w:rsidRPr="00630F51">
              <w:rPr>
                <w:rStyle w:val="Other"/>
                <w:b/>
                <w:bCs/>
              </w:rPr>
              <w:t>2024-09-23</w:t>
            </w:r>
          </w:p>
          <w:p w14:paraId="4AA10B09" w14:textId="0E44E59D" w:rsidR="00494C1B" w:rsidRDefault="00494C1B" w:rsidP="00494C1B">
            <w:pPr>
              <w:pStyle w:val="Other0"/>
              <w:ind w:left="142" w:right="293"/>
              <w:jc w:val="both"/>
              <w:rPr>
                <w:rStyle w:val="Other"/>
              </w:rPr>
            </w:pPr>
            <w:r w:rsidRPr="007A6158">
              <w:t>ŠMSM nuomone</w:t>
            </w:r>
            <w:r>
              <w:t xml:space="preserve"> pasiūlymas </w:t>
            </w:r>
            <w:r w:rsidRPr="007A6158">
              <w:t>nebeaktual</w:t>
            </w:r>
            <w:r>
              <w:t>u</w:t>
            </w:r>
            <w:r w:rsidRPr="007A6158">
              <w:t xml:space="preserve">s, nes </w:t>
            </w:r>
            <w:bookmarkStart w:id="7" w:name="_Hlk178861870"/>
            <w:r w:rsidRPr="007A6158">
              <w:t>visas nekilnojamasis turtas profesinio mokymo įstaigoms buvo perduotas valdyti pagal valstybės turto patikėjimo sutartis</w:t>
            </w:r>
            <w:bookmarkEnd w:id="7"/>
            <w:r w:rsidRPr="007A6158">
              <w:t xml:space="preserve">, kai pasikeitus Lietuvos Respublikos profesinio mokymo įstatymo (toliau – Įstatymas) reglamentavimui, Įstatymo 40 straipsnio 1 dalyje nustatyta galimybė valstybei jai nuosavybės teise priklausantį ilgalaikį ir trumpalaikį materialųjį ir nematerialųjį turtą savo nustatyta tvarka perduoti valstybinėms profesinio mokymo įstaigoms patikėjimo teise pagal patikėjimo sutartį. </w:t>
            </w:r>
            <w:r>
              <w:t>P</w:t>
            </w:r>
            <w:r w:rsidRPr="002B5C6D">
              <w:t>anaudos teise valdomo nekilnojamojo turto reikšmingai sumažėjo, perteklinio turto atsisakyta perduodant jį VĮ Turto bankui arba investuojant</w:t>
            </w:r>
            <w:r>
              <w:t xml:space="preserve">. </w:t>
            </w:r>
            <w:bookmarkStart w:id="8" w:name="_Hlk178861906"/>
            <w:r w:rsidRPr="002B5C6D">
              <w:t>Šiuo metu ŠMSM Vyriausybės nutarimu</w:t>
            </w:r>
            <w:r w:rsidRPr="002B5C6D">
              <w:rPr>
                <w:rStyle w:val="Puslapioinaosnuoroda"/>
              </w:rPr>
              <w:footnoteReference w:id="1"/>
            </w:r>
            <w:r w:rsidRPr="002B5C6D">
              <w:t xml:space="preserve"> panaudą yra suteikusi vienintelei įstaigai – Europos humanitariniam universitetui, Savičiaus g. 17, Vilniuje, kuris turtą naudoja statute numatytai veiklai vykdyti (išskyrus ūkinę komercinę veiklą). Panauda suteikta 4 metams, po 4 metų, Vyriausybei priėmus sprendimą, ŠMSM galėtų perduoti šį nekilnojamąjį turtą VĮ Turto bankui</w:t>
            </w:r>
            <w:bookmarkEnd w:id="8"/>
            <w:r w:rsidR="00F2152A">
              <w:t>.</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1676DB3" w14:textId="77777777" w:rsidR="00494C1B" w:rsidRDefault="00494C1B" w:rsidP="00494C1B">
            <w:pPr>
              <w:pStyle w:val="Other0"/>
              <w:ind w:left="142" w:right="293"/>
              <w:jc w:val="both"/>
              <w:rPr>
                <w:rStyle w:val="Other"/>
                <w:b/>
                <w:bCs/>
              </w:rPr>
            </w:pPr>
            <w:r>
              <w:rPr>
                <w:rStyle w:val="Other"/>
                <w:b/>
                <w:bCs/>
              </w:rPr>
              <w:t>2024-10-03</w:t>
            </w:r>
          </w:p>
          <w:p w14:paraId="67E84843" w14:textId="0E0D8C73" w:rsidR="00494C1B" w:rsidRPr="00494C1B" w:rsidRDefault="00494C1B" w:rsidP="00494C1B">
            <w:pPr>
              <w:pStyle w:val="Other0"/>
              <w:ind w:left="142" w:right="293"/>
              <w:jc w:val="both"/>
              <w:rPr>
                <w:rStyle w:val="Other"/>
                <w:b/>
                <w:bCs/>
                <w:color w:val="808080" w:themeColor="background1" w:themeShade="80"/>
              </w:rPr>
            </w:pPr>
            <w:r>
              <w:rPr>
                <w:rStyle w:val="Other"/>
                <w:b/>
                <w:bCs/>
                <w:color w:val="808080" w:themeColor="background1" w:themeShade="80"/>
              </w:rPr>
              <w:t>Neaktualu</w:t>
            </w:r>
          </w:p>
          <w:p w14:paraId="5529232E" w14:textId="2CA33760" w:rsidR="00494C1B" w:rsidRDefault="00802007" w:rsidP="00494C1B">
            <w:pPr>
              <w:pStyle w:val="Other0"/>
              <w:ind w:left="142" w:right="293"/>
              <w:jc w:val="both"/>
              <w:rPr>
                <w:rStyle w:val="Other"/>
              </w:rPr>
            </w:pPr>
            <w:r>
              <w:t>ŠMSM nuomonei ir a</w:t>
            </w:r>
            <w:r w:rsidR="00494C1B">
              <w:t>rgumenta</w:t>
            </w:r>
            <w:r>
              <w:t>ms</w:t>
            </w:r>
            <w:r w:rsidR="00494C1B">
              <w:t xml:space="preserve"> </w:t>
            </w:r>
            <w:r>
              <w:t>pritariam</w:t>
            </w:r>
            <w:r w:rsidR="00494C1B">
              <w:t xml:space="preserve">. </w:t>
            </w:r>
            <w:r w:rsidR="008549B6">
              <w:t>Pasiūlymas</w:t>
            </w:r>
            <w:r w:rsidR="00494C1B">
              <w:t xml:space="preserve"> neaktualus</w:t>
            </w:r>
          </w:p>
          <w:p w14:paraId="181A5FED" w14:textId="77777777" w:rsidR="00494C1B" w:rsidRDefault="000146B1" w:rsidP="00494C1B">
            <w:pPr>
              <w:pStyle w:val="Other0"/>
              <w:ind w:left="142" w:right="293"/>
              <w:jc w:val="both"/>
              <w:rPr>
                <w:rStyle w:val="Other"/>
                <w:color w:val="auto"/>
              </w:rPr>
            </w:pPr>
            <w:r w:rsidRPr="000146B1">
              <w:rPr>
                <w:rStyle w:val="Other"/>
                <w:color w:val="auto"/>
              </w:rPr>
              <w:t>Pastabų ir pasiūlymų nėra</w:t>
            </w:r>
          </w:p>
          <w:p w14:paraId="1F31467E" w14:textId="30CC61DB" w:rsidR="000146B1" w:rsidRPr="000146B1" w:rsidRDefault="000146B1" w:rsidP="00494C1B">
            <w:pPr>
              <w:pStyle w:val="Other0"/>
              <w:ind w:left="142" w:right="293"/>
              <w:jc w:val="both"/>
              <w:rPr>
                <w:rStyle w:val="Other"/>
                <w:color w:val="FF0000"/>
              </w:rPr>
            </w:pPr>
            <w:r>
              <w:rPr>
                <w:rStyle w:val="Other"/>
                <w:color w:val="auto"/>
              </w:rPr>
              <w:t>Stebėsena baigta</w:t>
            </w:r>
          </w:p>
        </w:tc>
      </w:tr>
      <w:tr w:rsidR="00494C1B" w14:paraId="20231DBF" w14:textId="77777777" w:rsidTr="00494C1B">
        <w:trPr>
          <w:trHeight w:hRule="exact" w:val="653"/>
        </w:trPr>
        <w:tc>
          <w:tcPr>
            <w:tcW w:w="14611" w:type="dxa"/>
            <w:gridSpan w:val="4"/>
            <w:tcBorders>
              <w:top w:val="single" w:sz="4" w:space="0" w:color="auto"/>
              <w:left w:val="single" w:sz="4" w:space="0" w:color="auto"/>
              <w:bottom w:val="single" w:sz="4" w:space="0" w:color="auto"/>
              <w:right w:val="single" w:sz="4" w:space="0" w:color="auto"/>
            </w:tcBorders>
            <w:shd w:val="clear" w:color="auto" w:fill="auto"/>
          </w:tcPr>
          <w:p w14:paraId="7F7755CA" w14:textId="77777777" w:rsidR="00494C1B" w:rsidRDefault="00494C1B" w:rsidP="00494C1B">
            <w:pPr>
              <w:pStyle w:val="Other0"/>
              <w:ind w:left="142" w:right="293"/>
            </w:pPr>
            <w:r>
              <w:rPr>
                <w:rStyle w:val="Other"/>
                <w:i/>
                <w:iCs/>
              </w:rPr>
              <w:t>2. Dėl korupcijos rizikos Švietimo ir mokslo ministerijos paraiškoms dėl valstybės nekilnojamojo turto, valdomo švietimo ir mokslo ministerijos patikėjimo teise, perdavimo pagal panaudos sutartis kitiems subjektams vertinti komisijos veikloje mažinimo:</w:t>
            </w:r>
          </w:p>
        </w:tc>
      </w:tr>
      <w:tr w:rsidR="00494C1B" w14:paraId="65AED647" w14:textId="77777777" w:rsidTr="003B0E4A">
        <w:trPr>
          <w:trHeight w:hRule="exact" w:val="7240"/>
        </w:trPr>
        <w:tc>
          <w:tcPr>
            <w:tcW w:w="846" w:type="dxa"/>
            <w:tcBorders>
              <w:top w:val="single" w:sz="4" w:space="0" w:color="auto"/>
              <w:left w:val="single" w:sz="4" w:space="0" w:color="auto"/>
              <w:bottom w:val="single" w:sz="4" w:space="0" w:color="auto"/>
            </w:tcBorders>
            <w:shd w:val="clear" w:color="auto" w:fill="auto"/>
          </w:tcPr>
          <w:p w14:paraId="7E38E97F" w14:textId="77777777" w:rsidR="00494C1B" w:rsidRDefault="00494C1B" w:rsidP="00494C1B">
            <w:pPr>
              <w:pStyle w:val="Other0"/>
              <w:spacing w:before="100"/>
              <w:ind w:left="142" w:right="293"/>
            </w:pPr>
            <w:r>
              <w:rPr>
                <w:rStyle w:val="Other"/>
              </w:rPr>
              <w:lastRenderedPageBreak/>
              <w:t>2.1.</w:t>
            </w:r>
          </w:p>
        </w:tc>
        <w:tc>
          <w:tcPr>
            <w:tcW w:w="4266" w:type="dxa"/>
            <w:tcBorders>
              <w:top w:val="single" w:sz="4" w:space="0" w:color="auto"/>
              <w:left w:val="single" w:sz="4" w:space="0" w:color="auto"/>
              <w:bottom w:val="single" w:sz="4" w:space="0" w:color="auto"/>
            </w:tcBorders>
            <w:shd w:val="clear" w:color="auto" w:fill="auto"/>
          </w:tcPr>
          <w:p w14:paraId="6862A76B" w14:textId="38811C1A" w:rsidR="00494C1B" w:rsidRDefault="00494C1B" w:rsidP="00494C1B">
            <w:pPr>
              <w:pStyle w:val="Other0"/>
              <w:ind w:left="142" w:right="293"/>
              <w:jc w:val="both"/>
            </w:pPr>
            <w:r>
              <w:rPr>
                <w:rStyle w:val="Other"/>
              </w:rPr>
              <w:t xml:space="preserve">Svarstyti dėl komisijos vykdomos procedūros organizavimo </w:t>
            </w:r>
            <w:r>
              <w:rPr>
                <w:rStyle w:val="Other"/>
                <w:i/>
                <w:iCs/>
              </w:rPr>
              <w:t xml:space="preserve">kiekvienu </w:t>
            </w:r>
            <w:r>
              <w:rPr>
                <w:rStyle w:val="Other"/>
              </w:rPr>
              <w:t xml:space="preserve">planuojamu nekilnojamojo turto perdavimo pagal panaudos sutartį atveju, tikslingumo ir realios naudos (pavyzdžiui, ar tikslinga yra rengti tokią procedūrą perduodant buitinių nuotekų tinkus ar kelią, įvažiavimą ar pan., kai juos perduoti reikalinga konkrečiam subjektui). Svarstyti organizuoti ir sudaryti komisiją paraiškų vertinimui tuomet, kai, pavyzdžiui, vienas </w:t>
            </w:r>
            <w:r>
              <w:rPr>
                <w:rStyle w:val="PagrindinistekstasDiagrama"/>
              </w:rPr>
              <w:t xml:space="preserve"> </w:t>
            </w:r>
            <w:r>
              <w:rPr>
                <w:rStyle w:val="Other"/>
              </w:rPr>
              <w:t xml:space="preserve">sutartį naudotas patalpas (kitą nekilnojamojo turto objektą) ir jas būtų galima perduoti kitam Turto valdymo, naudojimo ir disponavimo juo įstatyme numatytam subjektui, ar kitais atvejais, kuomet dėl patalpų perdavimo galėtų realiai konkuruoti keli subjektai, skelbimo formuluotėje vengiant ypatingai konkrečios subjekto veiklos aprašymo subjektas atsisako, grąžina pagal panaudos  </w:t>
            </w:r>
          </w:p>
        </w:tc>
        <w:tc>
          <w:tcPr>
            <w:tcW w:w="5656" w:type="dxa"/>
            <w:tcBorders>
              <w:top w:val="single" w:sz="4" w:space="0" w:color="auto"/>
              <w:left w:val="single" w:sz="4" w:space="0" w:color="auto"/>
              <w:bottom w:val="single" w:sz="4" w:space="0" w:color="auto"/>
            </w:tcBorders>
            <w:shd w:val="clear" w:color="auto" w:fill="auto"/>
          </w:tcPr>
          <w:p w14:paraId="2BBD9E7F" w14:textId="070675B6" w:rsidR="00494C1B" w:rsidRDefault="00494C1B" w:rsidP="00494C1B">
            <w:pPr>
              <w:pStyle w:val="Other0"/>
              <w:ind w:left="142" w:right="293"/>
              <w:jc w:val="both"/>
            </w:pPr>
            <w:r>
              <w:rPr>
                <w:rStyle w:val="Other"/>
              </w:rPr>
              <w:t xml:space="preserve">Švietimo ir mokslo ministerija informavo, kad Lietuvos Respublikos švietimo ir mokslo ministro 2018 m. kovo 30 d. įsakymu Nr. 307 „Dėl Lietuvos Respublikos švietimo ir mokslo ministro 2015 m. balandžio 7 d. įsakymo Nr. V-311 „Dėl Valstybės nekilnojamojo turto, valdomo Švietimo ir mokslo ministerijos patikėjimo teise, perdavimo pagal panaudos sutartis kitiems subjektams, taisyklių patvirtinimo“ pakeitimo“ papildė Valstybės nekilnojamojo turto, valdomo Švietimo ir mokslo ministerijos patikėjimo teise, perdavimo pagal panaudos sutartis kitiems subjektams, taisykles </w:t>
            </w:r>
            <w:r>
              <w:rPr>
                <w:rStyle w:val="PagrindinistekstasDiagrama"/>
              </w:rPr>
              <w:t xml:space="preserve"> </w:t>
            </w:r>
            <w:r>
              <w:rPr>
                <w:rStyle w:val="Other"/>
              </w:rPr>
              <w:t>išlyga, kad perduodant nekilnojamąjį turtą panaudos pagrindais konkurencingumo procedūra nebus organizuojama, jei panaudos pagrindais perduodamas nekilnojamasis turtas, kurį reikia perduoti konkrečiam subjektui: po rekonstrukcijos padidėjęs statinių plotas, keliai (gatvės), privažiavimo keliai, pėsčiųjų takai, inžineriniai tinklai (šiluminės trasos, ryšių kanalizacijos, vandentiekio tinklai, fekalinės kanalizacijos tinklai, lietaus kanalizacijos tinklai ir pan.), kiti inžineriniai statiniai (kiemo aikštelės, tvoros, kanalizacijos šuliniai, kiemo statiniai ir pan.), vandentiekio tinklai, šilumos tinklai, elektros tinklai, nuotekų šalinimo tinklai, lietaus nuotekų šalinimo tinklai ir pan.</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5196B2C" w14:textId="77777777" w:rsidR="00494C1B" w:rsidRPr="00494C1B" w:rsidRDefault="00494C1B" w:rsidP="00494C1B">
            <w:pPr>
              <w:pStyle w:val="Other0"/>
              <w:ind w:left="142" w:right="293"/>
              <w:rPr>
                <w:rStyle w:val="Other"/>
                <w:b/>
                <w:bCs/>
                <w:color w:val="00B050"/>
              </w:rPr>
            </w:pPr>
            <w:r w:rsidRPr="00494C1B">
              <w:rPr>
                <w:rStyle w:val="Other"/>
                <w:b/>
                <w:bCs/>
                <w:color w:val="00B050"/>
              </w:rPr>
              <w:t>Įgyvendinta</w:t>
            </w:r>
          </w:p>
          <w:p w14:paraId="5194997D" w14:textId="77777777" w:rsidR="00494C1B" w:rsidRDefault="00494C1B" w:rsidP="00494C1B">
            <w:pPr>
              <w:pStyle w:val="Other0"/>
              <w:ind w:left="142" w:right="293"/>
              <w:rPr>
                <w:rStyle w:val="Other"/>
              </w:rPr>
            </w:pPr>
            <w:r>
              <w:rPr>
                <w:rStyle w:val="Other"/>
              </w:rPr>
              <w:t>Pastabų ir pasiūlymų nėra</w:t>
            </w:r>
          </w:p>
          <w:p w14:paraId="247633D2" w14:textId="3DDC70A4" w:rsidR="00494C1B" w:rsidRPr="00494C1B" w:rsidRDefault="00494C1B" w:rsidP="00494C1B">
            <w:pPr>
              <w:pStyle w:val="Other0"/>
              <w:ind w:left="142" w:right="293"/>
            </w:pPr>
            <w:r>
              <w:rPr>
                <w:rStyle w:val="Other"/>
              </w:rPr>
              <w:t>Stebėsena baigta</w:t>
            </w:r>
          </w:p>
        </w:tc>
      </w:tr>
    </w:tbl>
    <w:p w14:paraId="7F5F5D92" w14:textId="77777777" w:rsidR="007C1C01" w:rsidRDefault="003E0CC5" w:rsidP="005F5640">
      <w:pPr>
        <w:spacing w:line="1" w:lineRule="exact"/>
        <w:ind w:left="142" w:right="293"/>
        <w:rPr>
          <w:sz w:val="2"/>
          <w:szCs w:val="2"/>
        </w:rPr>
      </w:pPr>
      <w:r>
        <w:br w:type="page"/>
      </w:r>
    </w:p>
    <w:tbl>
      <w:tblPr>
        <w:tblOverlap w:val="never"/>
        <w:tblW w:w="14611" w:type="dxa"/>
        <w:jc w:val="center"/>
        <w:tblLayout w:type="fixed"/>
        <w:tblCellMar>
          <w:left w:w="10" w:type="dxa"/>
          <w:right w:w="10" w:type="dxa"/>
        </w:tblCellMar>
        <w:tblLook w:val="0000" w:firstRow="0" w:lastRow="0" w:firstColumn="0" w:lastColumn="0" w:noHBand="0" w:noVBand="0"/>
      </w:tblPr>
      <w:tblGrid>
        <w:gridCol w:w="846"/>
        <w:gridCol w:w="4266"/>
        <w:gridCol w:w="5656"/>
        <w:gridCol w:w="3843"/>
      </w:tblGrid>
      <w:tr w:rsidR="007C1C01" w14:paraId="14E2F12E" w14:textId="77777777" w:rsidTr="00494C1B">
        <w:trPr>
          <w:trHeight w:hRule="exact" w:val="422"/>
          <w:jc w:val="center"/>
        </w:trPr>
        <w:tc>
          <w:tcPr>
            <w:tcW w:w="14611" w:type="dxa"/>
            <w:gridSpan w:val="4"/>
            <w:tcBorders>
              <w:top w:val="single" w:sz="4" w:space="0" w:color="auto"/>
              <w:left w:val="single" w:sz="4" w:space="0" w:color="auto"/>
              <w:right w:val="single" w:sz="4" w:space="0" w:color="auto"/>
            </w:tcBorders>
            <w:shd w:val="clear" w:color="auto" w:fill="auto"/>
          </w:tcPr>
          <w:p w14:paraId="3EA32C30" w14:textId="77777777" w:rsidR="007C1C01" w:rsidRDefault="003E0CC5" w:rsidP="005F5640">
            <w:pPr>
              <w:pStyle w:val="Other0"/>
              <w:ind w:left="142" w:right="293"/>
            </w:pPr>
            <w:r>
              <w:rPr>
                <w:rStyle w:val="Other"/>
                <w:i/>
                <w:iCs/>
              </w:rPr>
              <w:lastRenderedPageBreak/>
              <w:t>3. Dėl korupcijos rizikos viešųjų įstaigų panaudos teise perduotose patalpose užsiimti komercinės ir ūkine veikla mažinimo:</w:t>
            </w:r>
          </w:p>
        </w:tc>
      </w:tr>
      <w:tr w:rsidR="00802007" w14:paraId="05843CE5" w14:textId="77777777" w:rsidTr="003B0E4A">
        <w:trPr>
          <w:trHeight w:hRule="exact" w:val="8505"/>
          <w:jc w:val="center"/>
        </w:trPr>
        <w:tc>
          <w:tcPr>
            <w:tcW w:w="846" w:type="dxa"/>
            <w:vMerge w:val="restart"/>
            <w:tcBorders>
              <w:top w:val="single" w:sz="4" w:space="0" w:color="auto"/>
              <w:left w:val="single" w:sz="4" w:space="0" w:color="auto"/>
            </w:tcBorders>
            <w:shd w:val="clear" w:color="auto" w:fill="auto"/>
          </w:tcPr>
          <w:p w14:paraId="614B1D9E" w14:textId="77777777" w:rsidR="00802007" w:rsidRDefault="00802007" w:rsidP="005F5640">
            <w:pPr>
              <w:pStyle w:val="Other0"/>
              <w:spacing w:before="100"/>
              <w:ind w:left="142" w:right="293"/>
            </w:pPr>
            <w:r>
              <w:rPr>
                <w:rStyle w:val="Other"/>
              </w:rPr>
              <w:t>3.1.</w:t>
            </w:r>
          </w:p>
        </w:tc>
        <w:tc>
          <w:tcPr>
            <w:tcW w:w="4266" w:type="dxa"/>
            <w:vMerge w:val="restart"/>
            <w:tcBorders>
              <w:top w:val="single" w:sz="4" w:space="0" w:color="auto"/>
              <w:left w:val="single" w:sz="4" w:space="0" w:color="auto"/>
            </w:tcBorders>
            <w:shd w:val="clear" w:color="auto" w:fill="auto"/>
          </w:tcPr>
          <w:p w14:paraId="19BC212D" w14:textId="77777777" w:rsidR="00802007" w:rsidRDefault="00802007" w:rsidP="005F5640">
            <w:pPr>
              <w:pStyle w:val="Other0"/>
              <w:ind w:left="142" w:right="293"/>
              <w:jc w:val="both"/>
            </w:pPr>
            <w:r>
              <w:rPr>
                <w:rStyle w:val="Other"/>
              </w:rPr>
              <w:t>Tikslinti teisinį reglamentavimą, jį konstruoti aiškiai ir nedviprasmiškai, nustatant kokia konkrečiai komercine ir ūkine veikla draudžiama užsiimti subjektams panaudos teise suteiktose nekilnojamojo turto objektuose, nurodant kokiems subjektams draudžiama užsiimti tokia veikla, o kuriems – ne. Tais atvejais, kuomet viešajai įstaigai panaudos teise valdomose nekilnojamojo turto objektuose imperatyviai uždraudžiama užsiimti komercine ar ūkine veikla, siūlome aktyviai kontroliuoti šios nuostatos vykdymą.</w:t>
            </w:r>
          </w:p>
        </w:tc>
        <w:tc>
          <w:tcPr>
            <w:tcW w:w="5656" w:type="dxa"/>
            <w:tcBorders>
              <w:top w:val="single" w:sz="4" w:space="0" w:color="auto"/>
              <w:left w:val="single" w:sz="4" w:space="0" w:color="auto"/>
              <w:bottom w:val="single" w:sz="4" w:space="0" w:color="auto"/>
            </w:tcBorders>
            <w:shd w:val="clear" w:color="auto" w:fill="auto"/>
          </w:tcPr>
          <w:p w14:paraId="6151689A" w14:textId="7578B7B9" w:rsidR="00802007" w:rsidRDefault="00802007" w:rsidP="00003011">
            <w:pPr>
              <w:pStyle w:val="Other0"/>
              <w:ind w:left="142" w:right="293"/>
              <w:jc w:val="both"/>
            </w:pPr>
            <w:r>
              <w:rPr>
                <w:rStyle w:val="Other"/>
              </w:rPr>
              <w:t xml:space="preserve">Švietimo ir mokslo ministerija informavo, kad ji visiškai sutinka su STT nuomone, kad daugelis panaudos gavėjų užsiima iš dalies ir ūkine ir komercine veikla, kuri jų veikloje yra būtina mokymo dalis ir pan. Deja, su tuo kategoriškai nesutinka Konkurencijos taryba ir būtent Konkurencijos tarybos dėka Švietimo ir mokslo ministerijos rengiamuose Lietuvos Respublikos Vyriausybės nutarimų projektuose dėl panaudos atsiranda formuluotė „išskyrus ūkinę ir komercinę veiklą“, ši nuostata įrašoma ir į panaudos sutartis. </w:t>
            </w:r>
            <w:r w:rsidR="003B0E4A">
              <w:rPr>
                <w:rStyle w:val="Other"/>
              </w:rPr>
              <w:t>M</w:t>
            </w:r>
            <w:r w:rsidR="00892047">
              <w:t>inisterija Lietuvos Respublikos švietimo ir mokslo ministro 2015 m. balandžio 7 d. įsakymu Nr. V-311 „Dėl Valstybės nekilnojamojo turto, valdomo Švietimo ir mokslo ministerijos patikėjimo teise, perdavimo pagal panaudos sutartis kitiems subjektams, taisyklių patvirtinimo“ patvirtino atitinkamas taisykles visam nekilnojamajam turtui, nors tai daugeliu atvejų visiškas Kaip buvo minėta anksčiau, Švietimo ir mokslo ministerija kreipėsi į Finansų ministeriją, prašydama suderinus su Konkurencijos taryba, atitinkamai tikslinti teisinį reglamentavimą ir inicijuoti norminių teisės aktų pakeitimo procedūras. ministerija dėl 3.4 papunkčio, kreipėsi į Ūkio ministeriją, nes, Švietimo ir mokslo ministerijos nuomone, tai aktualu visiems valstybės turto valdytojams, todėl pasiūlymai turėtų būti įgyvendinami centralizuotai, tačiau Ūkio ministerija atsisakė inicijuoti Švietimo ir mokslo ministerijos siūlomų pakeitimo procedūrą.</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B26D110" w14:textId="02EFA27C" w:rsidR="00802007" w:rsidRDefault="00802007" w:rsidP="005F5640">
            <w:pPr>
              <w:pStyle w:val="Other0"/>
              <w:ind w:left="142" w:right="293"/>
            </w:pPr>
            <w:r>
              <w:rPr>
                <w:rStyle w:val="Other"/>
                <w:b/>
                <w:bCs/>
                <w:color w:val="FF0000"/>
              </w:rPr>
              <w:t>Neįgyvendinta</w:t>
            </w:r>
          </w:p>
          <w:p w14:paraId="6B2F029D" w14:textId="77777777" w:rsidR="00802007" w:rsidRDefault="00802007" w:rsidP="005F5640">
            <w:pPr>
              <w:pStyle w:val="Other0"/>
              <w:ind w:left="142" w:right="293"/>
              <w:jc w:val="both"/>
            </w:pPr>
            <w:r>
              <w:rPr>
                <w:rStyle w:val="Other"/>
              </w:rPr>
              <w:t>Atkreiptinas dėmesys, kad korupcijos rizikos analizės išvados pasiūlymai buvo pateikti Švietimo ir mokslo ministerijai, kuri savo kompetencijos ribose turėtų įgyvendinti šiuos pasiūlymus, neįpareigodama kitų institucijų ir tikslindama savo teisinį reglamentavimą, sudaromų panaudos sutarčių nuostatas ir pan.</w:t>
            </w:r>
          </w:p>
        </w:tc>
      </w:tr>
      <w:tr w:rsidR="00802007" w14:paraId="506F2C0F" w14:textId="77777777" w:rsidTr="00AE2B1D">
        <w:trPr>
          <w:trHeight w:hRule="exact" w:val="7371"/>
          <w:jc w:val="center"/>
        </w:trPr>
        <w:tc>
          <w:tcPr>
            <w:tcW w:w="846" w:type="dxa"/>
            <w:vMerge/>
            <w:tcBorders>
              <w:left w:val="single" w:sz="4" w:space="0" w:color="auto"/>
              <w:bottom w:val="single" w:sz="4" w:space="0" w:color="auto"/>
            </w:tcBorders>
            <w:shd w:val="clear" w:color="auto" w:fill="auto"/>
          </w:tcPr>
          <w:p w14:paraId="3C276849" w14:textId="77777777" w:rsidR="00802007" w:rsidRDefault="00802007" w:rsidP="00802007">
            <w:pPr>
              <w:pStyle w:val="Other0"/>
              <w:spacing w:before="100"/>
              <w:ind w:left="142" w:right="293"/>
              <w:rPr>
                <w:rStyle w:val="Other"/>
              </w:rPr>
            </w:pPr>
          </w:p>
        </w:tc>
        <w:tc>
          <w:tcPr>
            <w:tcW w:w="4266" w:type="dxa"/>
            <w:vMerge/>
            <w:tcBorders>
              <w:left w:val="single" w:sz="4" w:space="0" w:color="auto"/>
              <w:bottom w:val="single" w:sz="4" w:space="0" w:color="auto"/>
            </w:tcBorders>
            <w:shd w:val="clear" w:color="auto" w:fill="auto"/>
          </w:tcPr>
          <w:p w14:paraId="4ED89415" w14:textId="77777777" w:rsidR="00802007" w:rsidRDefault="00802007" w:rsidP="00802007">
            <w:pPr>
              <w:pStyle w:val="Other0"/>
              <w:ind w:left="142" w:right="293"/>
              <w:jc w:val="both"/>
              <w:rPr>
                <w:rStyle w:val="Other"/>
              </w:rPr>
            </w:pPr>
          </w:p>
        </w:tc>
        <w:tc>
          <w:tcPr>
            <w:tcW w:w="5656" w:type="dxa"/>
            <w:tcBorders>
              <w:top w:val="single" w:sz="4" w:space="0" w:color="auto"/>
              <w:left w:val="single" w:sz="4" w:space="0" w:color="auto"/>
              <w:bottom w:val="single" w:sz="4" w:space="0" w:color="auto"/>
            </w:tcBorders>
            <w:shd w:val="clear" w:color="auto" w:fill="auto"/>
          </w:tcPr>
          <w:p w14:paraId="53199E43" w14:textId="77777777" w:rsidR="00802007" w:rsidRPr="00630F51" w:rsidRDefault="00802007" w:rsidP="00802007">
            <w:pPr>
              <w:pStyle w:val="Other0"/>
              <w:ind w:left="142" w:right="293"/>
              <w:jc w:val="both"/>
              <w:rPr>
                <w:rStyle w:val="Other"/>
                <w:b/>
                <w:bCs/>
              </w:rPr>
            </w:pPr>
            <w:r w:rsidRPr="00630F51">
              <w:rPr>
                <w:rStyle w:val="Other"/>
                <w:b/>
                <w:bCs/>
              </w:rPr>
              <w:t>2024-09-23</w:t>
            </w:r>
          </w:p>
          <w:p w14:paraId="65B5C21E" w14:textId="7D532F99" w:rsidR="00802007" w:rsidRDefault="00802007" w:rsidP="00802007">
            <w:pPr>
              <w:pStyle w:val="Other0"/>
              <w:ind w:left="142" w:right="293"/>
              <w:jc w:val="both"/>
              <w:rPr>
                <w:rStyle w:val="Other"/>
              </w:rPr>
            </w:pPr>
            <w:r w:rsidRPr="007A6158">
              <w:t>ŠMSM nuomone</w:t>
            </w:r>
            <w:r>
              <w:t xml:space="preserve"> pasiūlymas </w:t>
            </w:r>
            <w:r w:rsidRPr="007A6158">
              <w:t>nebeaktual</w:t>
            </w:r>
            <w:r>
              <w:t>u</w:t>
            </w:r>
            <w:r w:rsidRPr="007A6158">
              <w:t xml:space="preserve">s, nes visas nekilnojamasis turtas profesinio mokymo įstaigoms buvo perduotas valdyti pagal valstybės turto patikėjimo sutartis, kai pasikeitus Lietuvos Respublikos profesinio mokymo įstatymo (toliau – Įstatymas) reglamentavimui, Įstatymo 40 straipsnio 1 dalyje nustatyta galimybė valstybei jai nuosavybės teise priklausantį ilgalaikį ir trumpalaikį materialųjį ir nematerialųjį turtą savo nustatyta tvarka perduoti valstybinėms profesinio mokymo įstaigoms patikėjimo teise pagal patikėjimo sutartį. </w:t>
            </w:r>
            <w:r>
              <w:t>P</w:t>
            </w:r>
            <w:r w:rsidRPr="002B5C6D">
              <w:t>anaudos teise valdomo nekilnojamojo turto reikšmingai sumažėjo, perteklinio turto atsisakyta perduodant jį VĮ Turto bankui arba investuojant</w:t>
            </w:r>
            <w:r>
              <w:t xml:space="preserve">. </w:t>
            </w:r>
            <w:r w:rsidRPr="002B5C6D">
              <w:t>Šiuo metu ŠMSM Vyriausybės nutari</w:t>
            </w:r>
            <w:r w:rsidR="005D2437">
              <w:t>mu</w:t>
            </w:r>
            <w:r w:rsidRPr="002B5C6D">
              <w:rPr>
                <w:rStyle w:val="Puslapioinaosnuoroda"/>
              </w:rPr>
              <w:footnoteReference w:id="2"/>
            </w:r>
            <w:r w:rsidRPr="002B5C6D">
              <w:t xml:space="preserve"> panaudą yra suteikusi vienintelei įstaigai – Europos humanitariniam universitetui, Savičiaus g. 17, Vilniuje, kuris turtą naudoja statute numatytai veiklai vykdyti (išskyrus ūkinę komercinę veiklą). Panauda suteikta 4 metams, po 4 metų, Vyriausybei priėmus sprendimą, ŠMSM galėtų perduoti šį nekilnojamąjį turtą VĮ Turto bankui</w:t>
            </w:r>
            <w:r w:rsidR="00FC7345">
              <w:t>.</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2A222AF" w14:textId="77777777" w:rsidR="00802007" w:rsidRDefault="00802007" w:rsidP="00802007">
            <w:pPr>
              <w:pStyle w:val="Other0"/>
              <w:ind w:left="142" w:right="293"/>
              <w:jc w:val="both"/>
              <w:rPr>
                <w:rStyle w:val="Other"/>
                <w:b/>
                <w:bCs/>
              </w:rPr>
            </w:pPr>
            <w:r>
              <w:rPr>
                <w:rStyle w:val="Other"/>
                <w:b/>
                <w:bCs/>
              </w:rPr>
              <w:t>2024-10-03</w:t>
            </w:r>
          </w:p>
          <w:p w14:paraId="011987DE" w14:textId="77777777" w:rsidR="00802007" w:rsidRPr="00494C1B" w:rsidRDefault="00802007" w:rsidP="00802007">
            <w:pPr>
              <w:pStyle w:val="Other0"/>
              <w:ind w:left="142" w:right="293"/>
              <w:jc w:val="both"/>
              <w:rPr>
                <w:rStyle w:val="Other"/>
                <w:b/>
                <w:bCs/>
                <w:color w:val="808080" w:themeColor="background1" w:themeShade="80"/>
              </w:rPr>
            </w:pPr>
            <w:r>
              <w:rPr>
                <w:rStyle w:val="Other"/>
                <w:b/>
                <w:bCs/>
                <w:color w:val="808080" w:themeColor="background1" w:themeShade="80"/>
              </w:rPr>
              <w:t>Neaktualu</w:t>
            </w:r>
          </w:p>
          <w:p w14:paraId="4B7DFF87" w14:textId="3106A3E3" w:rsidR="00802007" w:rsidRDefault="00802007" w:rsidP="00802007">
            <w:pPr>
              <w:pStyle w:val="Other0"/>
              <w:ind w:left="142" w:right="293"/>
              <w:jc w:val="both"/>
              <w:rPr>
                <w:rStyle w:val="Other"/>
              </w:rPr>
            </w:pPr>
            <w:r>
              <w:t xml:space="preserve">ŠMSM nuomonei ir argumentams pritariam. </w:t>
            </w:r>
            <w:r w:rsidR="008549B6">
              <w:t>Pasiūlymas</w:t>
            </w:r>
            <w:r>
              <w:t xml:space="preserve"> neaktualus</w:t>
            </w:r>
          </w:p>
          <w:p w14:paraId="3BC0BA82" w14:textId="77777777" w:rsidR="00802007" w:rsidRDefault="00802007" w:rsidP="00802007">
            <w:pPr>
              <w:pStyle w:val="Other0"/>
              <w:ind w:left="142" w:right="293"/>
              <w:jc w:val="both"/>
              <w:rPr>
                <w:rStyle w:val="Other"/>
                <w:color w:val="auto"/>
              </w:rPr>
            </w:pPr>
            <w:r w:rsidRPr="000146B1">
              <w:rPr>
                <w:rStyle w:val="Other"/>
                <w:color w:val="auto"/>
              </w:rPr>
              <w:t>Pastabų ir pasiūlymų nėra</w:t>
            </w:r>
          </w:p>
          <w:p w14:paraId="08E4E699" w14:textId="6BBFD1B5" w:rsidR="00802007" w:rsidRDefault="00802007" w:rsidP="00802007">
            <w:pPr>
              <w:pStyle w:val="Other0"/>
              <w:ind w:left="142" w:right="293"/>
              <w:rPr>
                <w:rStyle w:val="Other"/>
                <w:b/>
                <w:bCs/>
                <w:color w:val="FF0000"/>
              </w:rPr>
            </w:pPr>
            <w:r>
              <w:rPr>
                <w:rStyle w:val="Other"/>
                <w:color w:val="auto"/>
              </w:rPr>
              <w:t>Stebėsena baigta</w:t>
            </w:r>
          </w:p>
        </w:tc>
      </w:tr>
    </w:tbl>
    <w:p w14:paraId="3D20DA69" w14:textId="77777777" w:rsidR="007C1C01" w:rsidRDefault="003E0CC5" w:rsidP="005F5640">
      <w:pPr>
        <w:spacing w:line="1" w:lineRule="exact"/>
        <w:ind w:left="142" w:right="293"/>
        <w:rPr>
          <w:sz w:val="2"/>
          <w:szCs w:val="2"/>
        </w:rPr>
      </w:pPr>
      <w:r>
        <w:br w:type="page"/>
      </w:r>
    </w:p>
    <w:tbl>
      <w:tblPr>
        <w:tblOverlap w:val="never"/>
        <w:tblW w:w="14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4266"/>
        <w:gridCol w:w="5656"/>
        <w:gridCol w:w="3843"/>
      </w:tblGrid>
      <w:tr w:rsidR="008F3FBC" w14:paraId="7AF2ED05" w14:textId="77777777" w:rsidTr="00003011">
        <w:trPr>
          <w:trHeight w:hRule="exact" w:val="8675"/>
          <w:jc w:val="center"/>
        </w:trPr>
        <w:tc>
          <w:tcPr>
            <w:tcW w:w="846" w:type="dxa"/>
            <w:vMerge w:val="restart"/>
            <w:shd w:val="clear" w:color="auto" w:fill="auto"/>
          </w:tcPr>
          <w:p w14:paraId="3067B0FB" w14:textId="77777777" w:rsidR="008F3FBC" w:rsidRDefault="008F3FBC" w:rsidP="005F5640">
            <w:pPr>
              <w:pStyle w:val="Other0"/>
              <w:spacing w:before="100"/>
              <w:ind w:left="142" w:right="293"/>
            </w:pPr>
            <w:r>
              <w:rPr>
                <w:rStyle w:val="Other"/>
              </w:rPr>
              <w:lastRenderedPageBreak/>
              <w:t>3.2.</w:t>
            </w:r>
          </w:p>
        </w:tc>
        <w:tc>
          <w:tcPr>
            <w:tcW w:w="4266" w:type="dxa"/>
            <w:vMerge w:val="restart"/>
            <w:shd w:val="clear" w:color="auto" w:fill="auto"/>
          </w:tcPr>
          <w:p w14:paraId="14FD67ED" w14:textId="77777777" w:rsidR="008F3FBC" w:rsidRDefault="008F3FBC" w:rsidP="005F5640">
            <w:pPr>
              <w:pStyle w:val="Other0"/>
              <w:ind w:left="142" w:right="293"/>
              <w:jc w:val="both"/>
            </w:pPr>
            <w:r>
              <w:rPr>
                <w:rStyle w:val="Other"/>
              </w:rPr>
              <w:t>Tobulinti teisinį reglamentavimą taip, kad visos valstybės turto panaudos procesą reglamentuojančios nuostatos, tiesiogiai ir nenustatančios draudimą ir leidimą panaudos gavėjams užsiimti komercine ir ūkine veikla, sudarytų tarpusavyje susijusią, visapusišką, tarpusavyje rišliai derančią sistemą, t. y. valstybės turto panaudos sutarčių ir Lietuvos Respublikos Vyriausybės nutarimų nuostatos turėtų derėti tarpusavyje, aiškiai ir vienodai nurodant draudimą ir leidimą panaudos gavėjams užsiimti komercine ir ūkine veikla, ir nesudarytų galimybių šias nuostatas interpretuoti skirtingai.</w:t>
            </w:r>
          </w:p>
        </w:tc>
        <w:tc>
          <w:tcPr>
            <w:tcW w:w="5656" w:type="dxa"/>
            <w:shd w:val="clear" w:color="auto" w:fill="auto"/>
          </w:tcPr>
          <w:p w14:paraId="0CA0D547" w14:textId="4406427F" w:rsidR="008F3FBC" w:rsidRDefault="00003011" w:rsidP="005F5640">
            <w:pPr>
              <w:pStyle w:val="Other0"/>
              <w:ind w:left="142" w:right="293"/>
              <w:jc w:val="both"/>
            </w:pPr>
            <w:r>
              <w:rPr>
                <w:rStyle w:val="Other"/>
              </w:rPr>
              <w:t>Švietimo ir mokslo ministerija informavo, kad ji visiškai sutinka su STT nuomone, kad daugelis panaudos gavėjų užsiima iš dalies ir ūkine ir komercine veikla, kuri jų veikloje yra būtina mokymo dalis ir pan. Deja, su tuo kategoriškai nesutinka Konkurencijos taryba ir būtent Konkurencijos tarybos dėka Švietimo ir mokslo ministerijos rengiamuose Lietuvos Respublikos Vyriausybės nutarimų projektuose dėl panaudos atsiranda formuluotė „išskyrus ūkinę ir komercinę veiklą“, ši nuostata įrašoma ir į panaudos sutartis. M</w:t>
            </w:r>
            <w:r>
              <w:t>inisterija Lietuvos Respublikos švietimo ir mokslo ministro 2015 m. balandžio 7 d. įsakymu Nr. V-311 „Dėl Valstybės nekilnojamojo turto, valdomo Švietimo ir mokslo ministerijos patikėjimo teise, perdavimo pagal panaudos sutartis kitiems subjektams, taisyklių patvirtinimo“ patvirtino atitinkamas taisykles visam nekilnojamajam turtui, nors tai daugeliu atvejų visiškas Kaip buvo minėta anksčiau, Švietimo ir mokslo ministerija kreipėsi į Finansų ministeriją, prašydama suderinus su Konkurencijos taryba, atitinkamai tikslinti teisinį reglamentavimą ir inicijuoti norminių teisės aktų pakeitimo procedūras. ministerija dėl 3.4 papunkčio, kreipėsi į Ūkio ministeriją, nes, Švietimo ir mokslo ministerijos nuomone, tai aktualu visiems valstybės turto valdytojams, todėl pasiūlymai turėtų būti įgyvendinami centralizuotai, tačiau Ūkio ministerija atsisakė inicijuoti Švietimo ir mokslo ministerijos siūlomų pakeitimo procedūrą.</w:t>
            </w:r>
          </w:p>
        </w:tc>
        <w:tc>
          <w:tcPr>
            <w:tcW w:w="3843" w:type="dxa"/>
            <w:shd w:val="clear" w:color="auto" w:fill="auto"/>
          </w:tcPr>
          <w:p w14:paraId="5AC4086D" w14:textId="77777777" w:rsidR="008F3FBC" w:rsidRDefault="008F3FBC" w:rsidP="008F3FBC">
            <w:pPr>
              <w:pStyle w:val="Other0"/>
              <w:ind w:left="142" w:right="293"/>
            </w:pPr>
            <w:r>
              <w:rPr>
                <w:rStyle w:val="Other"/>
                <w:b/>
                <w:bCs/>
                <w:color w:val="FF0000"/>
              </w:rPr>
              <w:t>Neįgyvendinta</w:t>
            </w:r>
          </w:p>
          <w:p w14:paraId="1122B127" w14:textId="2D841903" w:rsidR="008F3FBC" w:rsidRDefault="008F3FBC" w:rsidP="00AB7E20">
            <w:pPr>
              <w:ind w:left="142" w:right="293"/>
              <w:jc w:val="both"/>
              <w:rPr>
                <w:sz w:val="10"/>
                <w:szCs w:val="10"/>
              </w:rPr>
            </w:pPr>
            <w:r>
              <w:rPr>
                <w:rStyle w:val="Other"/>
                <w:rFonts w:eastAsia="Arial Unicode MS"/>
              </w:rPr>
              <w:t>Atkreiptinas dėmesys, kad korupcijos rizikos analizės išvados pasiūlymai buvo pateikti Švietimo ir mokslo ministerijai, kuri savo kompetencijos ribose turėtų įgyvendinti šiuos pasiūlymus, neįpareigodama kitų institucijų ir tikslindama savo teisinį reglamentavimą, sudaromų panaudos sutarčių nuostatas ir pan.</w:t>
            </w:r>
          </w:p>
        </w:tc>
      </w:tr>
      <w:tr w:rsidR="008F3FBC" w14:paraId="3AAAFB39" w14:textId="77777777" w:rsidTr="00897D43">
        <w:trPr>
          <w:trHeight w:hRule="exact" w:val="4262"/>
          <w:jc w:val="center"/>
        </w:trPr>
        <w:tc>
          <w:tcPr>
            <w:tcW w:w="846" w:type="dxa"/>
            <w:vMerge/>
            <w:shd w:val="clear" w:color="auto" w:fill="auto"/>
          </w:tcPr>
          <w:p w14:paraId="15563649" w14:textId="77777777" w:rsidR="008F3FBC" w:rsidRDefault="008F3FBC" w:rsidP="008F3FBC">
            <w:pPr>
              <w:pStyle w:val="Other0"/>
              <w:spacing w:before="100"/>
              <w:ind w:left="142" w:right="293"/>
              <w:rPr>
                <w:rStyle w:val="Other"/>
              </w:rPr>
            </w:pPr>
          </w:p>
        </w:tc>
        <w:tc>
          <w:tcPr>
            <w:tcW w:w="4266" w:type="dxa"/>
            <w:vMerge/>
            <w:shd w:val="clear" w:color="auto" w:fill="auto"/>
            <w:vAlign w:val="bottom"/>
          </w:tcPr>
          <w:p w14:paraId="276D58C6" w14:textId="77777777" w:rsidR="008F3FBC" w:rsidRDefault="008F3FBC" w:rsidP="008F3FBC">
            <w:pPr>
              <w:pStyle w:val="Other0"/>
              <w:ind w:left="142" w:right="293"/>
              <w:jc w:val="both"/>
              <w:rPr>
                <w:rStyle w:val="Other"/>
              </w:rPr>
            </w:pPr>
          </w:p>
        </w:tc>
        <w:tc>
          <w:tcPr>
            <w:tcW w:w="5656" w:type="dxa"/>
            <w:shd w:val="clear" w:color="auto" w:fill="auto"/>
          </w:tcPr>
          <w:p w14:paraId="5B1CF62E" w14:textId="77777777" w:rsidR="008F3FBC" w:rsidRPr="00630F51" w:rsidRDefault="008F3FBC" w:rsidP="008F3FBC">
            <w:pPr>
              <w:pStyle w:val="Other0"/>
              <w:ind w:left="142" w:right="293"/>
              <w:jc w:val="both"/>
              <w:rPr>
                <w:rStyle w:val="Other"/>
                <w:b/>
                <w:bCs/>
              </w:rPr>
            </w:pPr>
            <w:r w:rsidRPr="00630F51">
              <w:rPr>
                <w:rStyle w:val="Other"/>
                <w:b/>
                <w:bCs/>
              </w:rPr>
              <w:t>2024-09-23</w:t>
            </w:r>
          </w:p>
          <w:p w14:paraId="28F37DFF" w14:textId="0ADC9AAC" w:rsidR="008F3FBC" w:rsidRDefault="008F3FBC" w:rsidP="008F3FBC">
            <w:pPr>
              <w:ind w:left="142" w:right="293"/>
              <w:jc w:val="both"/>
            </w:pPr>
            <w:r w:rsidRPr="002B5C6D">
              <w:rPr>
                <w:rFonts w:ascii="Times New Roman" w:hAnsi="Times New Roman"/>
              </w:rPr>
              <w:t xml:space="preserve">ŠMSM nuomone, </w:t>
            </w:r>
            <w:r>
              <w:rPr>
                <w:rFonts w:ascii="Times New Roman" w:hAnsi="Times New Roman"/>
              </w:rPr>
              <w:t>pasiūlymas</w:t>
            </w:r>
            <w:r w:rsidRPr="002B5C6D">
              <w:rPr>
                <w:rFonts w:ascii="Times New Roman" w:hAnsi="Times New Roman"/>
              </w:rPr>
              <w:t xml:space="preserve"> nebeaktualus, nes panaudos suteikimo atvejis, kaip </w:t>
            </w:r>
            <w:r>
              <w:rPr>
                <w:rFonts w:ascii="Times New Roman" w:hAnsi="Times New Roman"/>
              </w:rPr>
              <w:t>nurodyta</w:t>
            </w:r>
            <w:r w:rsidRPr="002B5C6D">
              <w:rPr>
                <w:rFonts w:ascii="Times New Roman" w:hAnsi="Times New Roman"/>
              </w:rPr>
              <w:t xml:space="preserve"> anksčiau, yra vienetinis, o galiojantis teisinis reglamentavimas ir visos valstybės turto panaudos procesą reglamentuojančios nuostatos, ŠMSM nuomone, yra pakankamai aiškios ir suprantamos. Suteikiant Vyriausybės sprendimu nekilnojamojo turto panaudą, Vyriausybės nutarime įrašoma nuostata, kad nekilnojamasis turtas bus naudojamas pagal paskirtį, „išskyrus ūkinę komercinę veiklą“. Visi nutarimų projektai yra derinami tiek su Finansų ministerija, tiek su Konkurencijos taryba, joms pritarus, priimamas Vyriausybės nutarimas</w:t>
            </w:r>
            <w:r w:rsidR="00083F21">
              <w:rPr>
                <w:rFonts w:ascii="Times New Roman" w:hAnsi="Times New Roman"/>
              </w:rPr>
              <w:t>.</w:t>
            </w:r>
          </w:p>
        </w:tc>
        <w:tc>
          <w:tcPr>
            <w:tcW w:w="3843" w:type="dxa"/>
            <w:shd w:val="clear" w:color="auto" w:fill="auto"/>
          </w:tcPr>
          <w:p w14:paraId="69763F24" w14:textId="77777777" w:rsidR="008F3FBC" w:rsidRDefault="008F3FBC" w:rsidP="008F3FBC">
            <w:pPr>
              <w:pStyle w:val="Other0"/>
              <w:ind w:left="142" w:right="293"/>
              <w:jc w:val="both"/>
              <w:rPr>
                <w:rStyle w:val="Other"/>
                <w:b/>
                <w:bCs/>
              </w:rPr>
            </w:pPr>
            <w:r>
              <w:rPr>
                <w:rStyle w:val="Other"/>
                <w:b/>
                <w:bCs/>
              </w:rPr>
              <w:t>2024-10-03</w:t>
            </w:r>
          </w:p>
          <w:p w14:paraId="786131A6" w14:textId="77777777" w:rsidR="008F3FBC" w:rsidRPr="00494C1B" w:rsidRDefault="008F3FBC" w:rsidP="008F3FBC">
            <w:pPr>
              <w:pStyle w:val="Other0"/>
              <w:ind w:left="142" w:right="293"/>
              <w:jc w:val="both"/>
              <w:rPr>
                <w:rStyle w:val="Other"/>
                <w:b/>
                <w:bCs/>
                <w:color w:val="808080" w:themeColor="background1" w:themeShade="80"/>
              </w:rPr>
            </w:pPr>
            <w:r>
              <w:rPr>
                <w:rStyle w:val="Other"/>
                <w:b/>
                <w:bCs/>
                <w:color w:val="808080" w:themeColor="background1" w:themeShade="80"/>
              </w:rPr>
              <w:t>Neaktualu</w:t>
            </w:r>
          </w:p>
          <w:p w14:paraId="43BAAAE2" w14:textId="52D2540F" w:rsidR="008F3FBC" w:rsidRDefault="008F3FBC" w:rsidP="008F3FBC">
            <w:pPr>
              <w:pStyle w:val="Other0"/>
              <w:ind w:left="142" w:right="293"/>
              <w:jc w:val="both"/>
              <w:rPr>
                <w:rStyle w:val="Other"/>
              </w:rPr>
            </w:pPr>
            <w:r>
              <w:t xml:space="preserve">ŠMSM nuomonei ir argumentams pritariam. </w:t>
            </w:r>
            <w:r w:rsidR="008549B6">
              <w:t>Pasiūlymas</w:t>
            </w:r>
            <w:r>
              <w:t xml:space="preserve"> neaktualus</w:t>
            </w:r>
            <w:r w:rsidR="008549B6">
              <w:t>.</w:t>
            </w:r>
          </w:p>
          <w:p w14:paraId="6B3A8A6C" w14:textId="77777777" w:rsidR="008F3FBC" w:rsidRDefault="008F3FBC" w:rsidP="008F3FBC">
            <w:pPr>
              <w:pStyle w:val="Other0"/>
              <w:ind w:left="142" w:right="293"/>
              <w:jc w:val="both"/>
              <w:rPr>
                <w:rStyle w:val="Other"/>
                <w:color w:val="auto"/>
              </w:rPr>
            </w:pPr>
            <w:r w:rsidRPr="000146B1">
              <w:rPr>
                <w:rStyle w:val="Other"/>
                <w:color w:val="auto"/>
              </w:rPr>
              <w:t>Pastabų ir pasiūlymų nėra</w:t>
            </w:r>
          </w:p>
          <w:p w14:paraId="20355FDA" w14:textId="3FDD47C5" w:rsidR="008F3FBC" w:rsidRDefault="008F3FBC" w:rsidP="008F3FBC">
            <w:pPr>
              <w:ind w:left="142" w:right="293"/>
            </w:pPr>
            <w:r>
              <w:rPr>
                <w:rStyle w:val="Other"/>
                <w:rFonts w:eastAsia="Arial Unicode MS"/>
                <w:color w:val="auto"/>
              </w:rPr>
              <w:t>Stebėsena baigta</w:t>
            </w:r>
          </w:p>
        </w:tc>
      </w:tr>
      <w:tr w:rsidR="008F3FBC" w14:paraId="1FAD68B8" w14:textId="77777777" w:rsidTr="005D2437">
        <w:trPr>
          <w:trHeight w:hRule="exact" w:val="8505"/>
          <w:jc w:val="center"/>
        </w:trPr>
        <w:tc>
          <w:tcPr>
            <w:tcW w:w="846" w:type="dxa"/>
            <w:vMerge w:val="restart"/>
            <w:shd w:val="clear" w:color="auto" w:fill="auto"/>
          </w:tcPr>
          <w:p w14:paraId="547BE070" w14:textId="77777777" w:rsidR="008F3FBC" w:rsidRDefault="008F3FBC" w:rsidP="008F3FBC">
            <w:pPr>
              <w:pStyle w:val="Other0"/>
              <w:spacing w:before="100"/>
              <w:ind w:left="142" w:right="293"/>
            </w:pPr>
            <w:r>
              <w:rPr>
                <w:rStyle w:val="Other"/>
              </w:rPr>
              <w:lastRenderedPageBreak/>
              <w:t>3.3.</w:t>
            </w:r>
          </w:p>
        </w:tc>
        <w:tc>
          <w:tcPr>
            <w:tcW w:w="4266" w:type="dxa"/>
            <w:vMerge w:val="restart"/>
            <w:shd w:val="clear" w:color="auto" w:fill="auto"/>
          </w:tcPr>
          <w:p w14:paraId="2F5DF9D6" w14:textId="77777777" w:rsidR="008F3FBC" w:rsidRDefault="008F3FBC" w:rsidP="008F3FBC">
            <w:pPr>
              <w:pStyle w:val="Other0"/>
              <w:ind w:left="142" w:right="293"/>
              <w:jc w:val="both"/>
            </w:pPr>
            <w:r>
              <w:rPr>
                <w:rStyle w:val="Other"/>
              </w:rPr>
              <w:t>Svarstyti galimybę inicijuoti Turto valdymo, naudojimo ir disponavimo juo įstatymo 14 straipsnio nuostatos pakeitimą ir tokioms viešosioms įtaigoms, kurių dalininkė nėra valstybė ar įstaigoms, kurių pagrindinė veikla yra komercinė (kaip pavyzdžiui, Šiuolaikinės mokyklos centras ar Šv. Ignaco Lojolos kolegija), taikyti konkurencingą nuomos, viešo konkurso būdu, procedūrą.</w:t>
            </w:r>
          </w:p>
        </w:tc>
        <w:tc>
          <w:tcPr>
            <w:tcW w:w="5656" w:type="dxa"/>
            <w:shd w:val="clear" w:color="auto" w:fill="auto"/>
          </w:tcPr>
          <w:p w14:paraId="434655B7" w14:textId="088EA319" w:rsidR="008F3FBC" w:rsidRPr="005D2437" w:rsidRDefault="005D2437" w:rsidP="008549B6">
            <w:pPr>
              <w:ind w:left="142" w:right="293"/>
              <w:jc w:val="both"/>
              <w:rPr>
                <w:rFonts w:ascii="Times New Roman" w:hAnsi="Times New Roman" w:cs="Times New Roman"/>
              </w:rPr>
            </w:pPr>
            <w:r w:rsidRPr="005D2437">
              <w:rPr>
                <w:rStyle w:val="Other"/>
                <w:rFonts w:eastAsia="Arial Unicode MS"/>
              </w:rPr>
              <w:t>Švietimo ir mokslo ministerija informavo, kad ji visiškai sutinka su STT nuomone, kad daugelis panaudos gavėjų užsiima iš dalies ir ūkine ir komercine veikla, kuri jų veikloje yra būtina mokymo dalis ir pan. Deja, su tuo kategoriškai nesutinka Konkurencijos taryba ir būtent Konkurencijos tarybos dėka Švietimo ir mokslo ministerijos rengiamuose Lietuvos Respublikos Vyriausybės nutarimų projektuose dėl panaudos atsiranda formuluotė „išskyrus ūkinę ir komercinę veiklą“, ši nuostata įrašoma ir į panaudos sutartis. M</w:t>
            </w:r>
            <w:r w:rsidRPr="005D2437">
              <w:rPr>
                <w:rFonts w:ascii="Times New Roman" w:hAnsi="Times New Roman" w:cs="Times New Roman"/>
              </w:rPr>
              <w:t>inisterija Lietuvos Respublikos švietimo ir mokslo ministro 2015 m. balandžio 7 d. įsakymu Nr. V-311 „Dėl Valstybės nekilnojamojo turto, valdomo Švietimo ir mokslo ministerijos patikėjimo teise, perdavimo pagal panaudos sutartis kitiems subjektams, taisyklių patvirtinimo“ patvirtino atitinkamas taisykles visam nekilnojamajam turtui, nors tai daugeliu atvejų visiškas Kaip buvo minėta anksčiau, Švietimo ir mokslo ministerija kreipėsi į Finansų ministeriją, prašydama suderinus su Konkurencijos taryba, atitinkamai tikslinti teisinį reglamentavimą ir inicijuoti norminių teisės aktų pakeitimo procedūras. ministerija dėl 3.4 papunkčio, kreipėsi į Ūkio ministeriją, nes, Švietimo ir mokslo ministerijos nuomone, tai aktualu visiems valstybės turto valdytojams, todėl pasiūlymai turėtų būti įgyvendinami centralizuotai, tačiau Ūkio ministerija atsisakė inicijuoti Švietimo ir mokslo ministerijos siūlomų pakeitimo procedūrą.</w:t>
            </w:r>
          </w:p>
        </w:tc>
        <w:tc>
          <w:tcPr>
            <w:tcW w:w="3843" w:type="dxa"/>
            <w:shd w:val="clear" w:color="auto" w:fill="auto"/>
          </w:tcPr>
          <w:p w14:paraId="5D8BE57F" w14:textId="77777777" w:rsidR="008F3FBC" w:rsidRDefault="008F3FBC" w:rsidP="008F3FBC">
            <w:pPr>
              <w:pStyle w:val="Other0"/>
              <w:ind w:left="142" w:right="293"/>
            </w:pPr>
            <w:r>
              <w:rPr>
                <w:rStyle w:val="Other"/>
                <w:b/>
                <w:bCs/>
                <w:color w:val="FF0000"/>
              </w:rPr>
              <w:t>Neįgyvendinta</w:t>
            </w:r>
          </w:p>
          <w:p w14:paraId="7C53388D" w14:textId="5AF013F3" w:rsidR="008F3FBC" w:rsidRDefault="008F3FBC" w:rsidP="008549B6">
            <w:pPr>
              <w:ind w:left="142" w:right="293"/>
              <w:jc w:val="both"/>
            </w:pPr>
            <w:r>
              <w:rPr>
                <w:rStyle w:val="Other"/>
                <w:rFonts w:eastAsia="Arial Unicode MS"/>
              </w:rPr>
              <w:t>Atkreiptinas dėmesys, kad korupcijos rizikos analizės išvados pasiūlymai buvo pateikti Švietimo ir mokslo ministerijai, kuri savo kompetencijos ribose turėtų įgyvendinti šiuos pasiūlymus, neįpareigodama kitų institucijų ir tikslindama savo teisinį reglamentavimą, sudaromų panaudos sutarčių nuostatas ir pan.</w:t>
            </w:r>
          </w:p>
        </w:tc>
      </w:tr>
      <w:tr w:rsidR="008549B6" w14:paraId="55A360A0" w14:textId="77777777" w:rsidTr="00897D43">
        <w:trPr>
          <w:trHeight w:hRule="exact" w:val="7239"/>
          <w:jc w:val="center"/>
        </w:trPr>
        <w:tc>
          <w:tcPr>
            <w:tcW w:w="846" w:type="dxa"/>
            <w:vMerge/>
            <w:shd w:val="clear" w:color="auto" w:fill="auto"/>
          </w:tcPr>
          <w:p w14:paraId="5E9DA985" w14:textId="77777777" w:rsidR="008549B6" w:rsidRDefault="008549B6" w:rsidP="008549B6">
            <w:pPr>
              <w:pStyle w:val="Other0"/>
              <w:spacing w:before="100"/>
              <w:ind w:left="142" w:right="293"/>
              <w:rPr>
                <w:rStyle w:val="Other"/>
              </w:rPr>
            </w:pPr>
          </w:p>
        </w:tc>
        <w:tc>
          <w:tcPr>
            <w:tcW w:w="4266" w:type="dxa"/>
            <w:vMerge/>
            <w:shd w:val="clear" w:color="auto" w:fill="auto"/>
          </w:tcPr>
          <w:p w14:paraId="617D2E5A" w14:textId="77777777" w:rsidR="008549B6" w:rsidRDefault="008549B6" w:rsidP="008549B6">
            <w:pPr>
              <w:pStyle w:val="Other0"/>
              <w:ind w:left="142" w:right="293"/>
              <w:jc w:val="both"/>
              <w:rPr>
                <w:rStyle w:val="Other"/>
              </w:rPr>
            </w:pPr>
          </w:p>
        </w:tc>
        <w:tc>
          <w:tcPr>
            <w:tcW w:w="5656" w:type="dxa"/>
            <w:shd w:val="clear" w:color="auto" w:fill="auto"/>
          </w:tcPr>
          <w:p w14:paraId="72BBD71F" w14:textId="77777777" w:rsidR="008549B6" w:rsidRPr="00630F51" w:rsidRDefault="008549B6" w:rsidP="008549B6">
            <w:pPr>
              <w:pStyle w:val="Other0"/>
              <w:ind w:left="120" w:right="293"/>
              <w:jc w:val="both"/>
              <w:rPr>
                <w:rStyle w:val="Other"/>
                <w:b/>
                <w:bCs/>
              </w:rPr>
            </w:pPr>
            <w:r w:rsidRPr="00630F51">
              <w:rPr>
                <w:rStyle w:val="Other"/>
                <w:b/>
                <w:bCs/>
              </w:rPr>
              <w:t>2024-09-23</w:t>
            </w:r>
          </w:p>
          <w:p w14:paraId="2BFC78DA" w14:textId="0ED28EA2" w:rsidR="008549B6" w:rsidRPr="002B5C6D" w:rsidRDefault="008549B6" w:rsidP="008549B6">
            <w:pPr>
              <w:ind w:left="120" w:right="293"/>
              <w:jc w:val="both"/>
              <w:rPr>
                <w:rFonts w:ascii="Times New Roman" w:hAnsi="Times New Roman"/>
              </w:rPr>
            </w:pPr>
            <w:r w:rsidRPr="002B5C6D">
              <w:rPr>
                <w:rFonts w:ascii="Times New Roman" w:hAnsi="Times New Roman"/>
              </w:rPr>
              <w:t xml:space="preserve">ŠMSM nuomone, </w:t>
            </w:r>
            <w:r>
              <w:rPr>
                <w:rFonts w:ascii="Times New Roman" w:hAnsi="Times New Roman"/>
              </w:rPr>
              <w:t>pasiūlymas</w:t>
            </w:r>
            <w:r w:rsidRPr="002B5C6D">
              <w:rPr>
                <w:rFonts w:ascii="Times New Roman" w:hAnsi="Times New Roman"/>
              </w:rPr>
              <w:t xml:space="preserve"> n</w:t>
            </w:r>
            <w:r>
              <w:rPr>
                <w:rFonts w:ascii="Times New Roman" w:hAnsi="Times New Roman"/>
              </w:rPr>
              <w:t>ebė</w:t>
            </w:r>
            <w:r w:rsidRPr="002B5C6D">
              <w:rPr>
                <w:rFonts w:ascii="Times New Roman" w:hAnsi="Times New Roman"/>
              </w:rPr>
              <w:t>ra aktualus, nes nuo 2024</w:t>
            </w:r>
            <w:r>
              <w:rPr>
                <w:rFonts w:ascii="Times New Roman" w:hAnsi="Times New Roman"/>
              </w:rPr>
              <w:t xml:space="preserve"> m. gegužės </w:t>
            </w:r>
            <w:r w:rsidRPr="002B5C6D">
              <w:rPr>
                <w:rFonts w:ascii="Times New Roman" w:hAnsi="Times New Roman"/>
              </w:rPr>
              <w:t xml:space="preserve">15 </w:t>
            </w:r>
            <w:r>
              <w:rPr>
                <w:rFonts w:ascii="Times New Roman" w:hAnsi="Times New Roman"/>
              </w:rPr>
              <w:t xml:space="preserve">d. </w:t>
            </w:r>
            <w:r w:rsidRPr="002B5C6D">
              <w:rPr>
                <w:rFonts w:ascii="Times New Roman" w:hAnsi="Times New Roman"/>
              </w:rPr>
              <w:t>patalpas, kuriomis naudojosi Šiuolaikinės mokyklos centras, Žygimantų g. 4, Vilniuje, ji perdavė VĮ Turto bankui. Šv. Ignaco Lojolos kolegijos nekilnojamo</w:t>
            </w:r>
            <w:r>
              <w:rPr>
                <w:rFonts w:ascii="Times New Roman" w:hAnsi="Times New Roman"/>
              </w:rPr>
              <w:t>jo</w:t>
            </w:r>
            <w:r w:rsidRPr="002B5C6D">
              <w:rPr>
                <w:rFonts w:ascii="Times New Roman" w:hAnsi="Times New Roman"/>
              </w:rPr>
              <w:t xml:space="preserve"> turto panauda taip pat pasibaigusi ir nepratęsta, šiai kolegijai nesuteikta galimybė naudotis valstybės patikėjimo teise valdomu turtu. Daugiau nėra atvejų, kai įtaigoms, kurių dalininkė nėra valstybė, netaikomos konkurencingos nuomos viešo konkurso būdu procedūros. </w:t>
            </w:r>
          </w:p>
          <w:p w14:paraId="1A682723" w14:textId="7892ED53" w:rsidR="008549B6" w:rsidRDefault="008549B6" w:rsidP="008549B6">
            <w:pPr>
              <w:ind w:left="120" w:right="293"/>
              <w:jc w:val="both"/>
            </w:pPr>
            <w:r w:rsidRPr="002B5C6D">
              <w:rPr>
                <w:rFonts w:ascii="Times New Roman" w:hAnsi="Times New Roman"/>
              </w:rPr>
              <w:t>Taip pat pažymėtina, kad aktualioje Lietuvos Respublikos valstybės ir savivaldybių turto valdymo, naudojimo ir disponavimo juo įstatymo redakcijoje 14 straipsnyje nustatyta, kad valstybės ir savivaldybių turtas minėtame straipsnyje išvardintiems subjektams perduodamas Vyriausybės arba savivaldybės tarybos nustatyta tvarka kitiems subjektams – jeigu tokio perdavimo tvarka ir sąlygos nustatytos atitinkamuose minėtame straipsnyje išvardintuose teisės aktuose</w:t>
            </w:r>
            <w:r w:rsidR="009B5EE4">
              <w:rPr>
                <w:rFonts w:ascii="Times New Roman" w:hAnsi="Times New Roman"/>
              </w:rPr>
              <w:t>.</w:t>
            </w:r>
          </w:p>
        </w:tc>
        <w:tc>
          <w:tcPr>
            <w:tcW w:w="3843" w:type="dxa"/>
            <w:shd w:val="clear" w:color="auto" w:fill="auto"/>
          </w:tcPr>
          <w:p w14:paraId="389325B4" w14:textId="77777777" w:rsidR="008549B6" w:rsidRDefault="008549B6" w:rsidP="008549B6">
            <w:pPr>
              <w:pStyle w:val="Other0"/>
              <w:ind w:left="142" w:right="293"/>
              <w:jc w:val="both"/>
              <w:rPr>
                <w:rStyle w:val="Other"/>
                <w:b/>
                <w:bCs/>
              </w:rPr>
            </w:pPr>
            <w:r>
              <w:rPr>
                <w:rStyle w:val="Other"/>
                <w:b/>
                <w:bCs/>
              </w:rPr>
              <w:t>2024-10-03</w:t>
            </w:r>
          </w:p>
          <w:p w14:paraId="001A3CF7" w14:textId="77777777" w:rsidR="008549B6" w:rsidRPr="00494C1B" w:rsidRDefault="008549B6" w:rsidP="008549B6">
            <w:pPr>
              <w:pStyle w:val="Other0"/>
              <w:ind w:left="142" w:right="293"/>
              <w:jc w:val="both"/>
              <w:rPr>
                <w:rStyle w:val="Other"/>
                <w:b/>
                <w:bCs/>
                <w:color w:val="808080" w:themeColor="background1" w:themeShade="80"/>
              </w:rPr>
            </w:pPr>
            <w:r>
              <w:rPr>
                <w:rStyle w:val="Other"/>
                <w:b/>
                <w:bCs/>
                <w:color w:val="808080" w:themeColor="background1" w:themeShade="80"/>
              </w:rPr>
              <w:t>Neaktualu</w:t>
            </w:r>
          </w:p>
          <w:p w14:paraId="09A189A7" w14:textId="765C3C33" w:rsidR="008549B6" w:rsidRDefault="008549B6" w:rsidP="008549B6">
            <w:pPr>
              <w:pStyle w:val="Other0"/>
              <w:ind w:left="142" w:right="293"/>
              <w:jc w:val="both"/>
              <w:rPr>
                <w:rStyle w:val="Other"/>
              </w:rPr>
            </w:pPr>
            <w:r>
              <w:t>ŠMSM nuomonei ir argumentams pritariam. Pasiūlymas neaktualus.</w:t>
            </w:r>
          </w:p>
          <w:p w14:paraId="152A8ECF" w14:textId="77777777" w:rsidR="008549B6" w:rsidRDefault="008549B6" w:rsidP="008549B6">
            <w:pPr>
              <w:pStyle w:val="Other0"/>
              <w:ind w:left="142" w:right="293"/>
              <w:jc w:val="both"/>
              <w:rPr>
                <w:rStyle w:val="Other"/>
                <w:color w:val="auto"/>
              </w:rPr>
            </w:pPr>
            <w:r w:rsidRPr="000146B1">
              <w:rPr>
                <w:rStyle w:val="Other"/>
                <w:color w:val="auto"/>
              </w:rPr>
              <w:t>Pastabų ir pasiūlymų nėra</w:t>
            </w:r>
          </w:p>
          <w:p w14:paraId="28B22788" w14:textId="1CB55377" w:rsidR="008549B6" w:rsidRDefault="008549B6" w:rsidP="008549B6">
            <w:pPr>
              <w:pStyle w:val="Other0"/>
              <w:ind w:left="142" w:right="293"/>
              <w:rPr>
                <w:rStyle w:val="Other"/>
                <w:b/>
                <w:bCs/>
                <w:color w:val="FF0000"/>
              </w:rPr>
            </w:pPr>
            <w:r>
              <w:rPr>
                <w:rStyle w:val="Other"/>
                <w:color w:val="auto"/>
              </w:rPr>
              <w:t>Stebėsena baigta</w:t>
            </w:r>
          </w:p>
        </w:tc>
      </w:tr>
      <w:tr w:rsidR="008549B6" w14:paraId="3A2602A6" w14:textId="77777777" w:rsidTr="00003011">
        <w:trPr>
          <w:trHeight w:hRule="exact" w:val="8505"/>
          <w:jc w:val="center"/>
        </w:trPr>
        <w:tc>
          <w:tcPr>
            <w:tcW w:w="846" w:type="dxa"/>
            <w:vMerge w:val="restart"/>
            <w:shd w:val="clear" w:color="auto" w:fill="auto"/>
          </w:tcPr>
          <w:p w14:paraId="5A97191C" w14:textId="77777777" w:rsidR="008549B6" w:rsidRDefault="008549B6" w:rsidP="008549B6">
            <w:pPr>
              <w:pStyle w:val="Other0"/>
              <w:spacing w:before="100"/>
              <w:ind w:left="142" w:right="293"/>
            </w:pPr>
            <w:r>
              <w:rPr>
                <w:rStyle w:val="Other"/>
              </w:rPr>
              <w:lastRenderedPageBreak/>
              <w:t>3.4.</w:t>
            </w:r>
          </w:p>
        </w:tc>
        <w:tc>
          <w:tcPr>
            <w:tcW w:w="4266" w:type="dxa"/>
            <w:vMerge w:val="restart"/>
            <w:shd w:val="clear" w:color="auto" w:fill="auto"/>
          </w:tcPr>
          <w:p w14:paraId="71AB1ED6" w14:textId="497ED164" w:rsidR="008549B6" w:rsidRDefault="008549B6" w:rsidP="008549B6">
            <w:pPr>
              <w:pStyle w:val="Other0"/>
              <w:ind w:left="142" w:right="293"/>
              <w:jc w:val="both"/>
            </w:pPr>
            <w:r>
              <w:rPr>
                <w:rStyle w:val="Other"/>
              </w:rPr>
              <w:t>Nepatikėti viso turto valdymo proceso viešųjų įstaigų ir kitų jos dalininkų, galimai suinteresuotų neskaidriu ir savanaudišku turto valdymu, per plačiai diskrecijos teisei spręsti dėl vienokių ar kitokių nekilnojamojo turto valdymo aspektų, taip pat griežtai neatskirti viešųjų įstaigų</w:t>
            </w:r>
            <w:r w:rsidR="00AE2B1D">
              <w:rPr>
                <w:rStyle w:val="Other"/>
              </w:rPr>
              <w:t xml:space="preserve"> nekilnojamojo turto valstybės turto, kuomet jos steigėja ir viena iš valdytojų yra Švietimo ir mokslo ministerija, imtis </w:t>
            </w:r>
            <w:proofErr w:type="spellStart"/>
            <w:r w:rsidR="00AE2B1D">
              <w:rPr>
                <w:rStyle w:val="Other"/>
              </w:rPr>
              <w:t>proaktyvių</w:t>
            </w:r>
            <w:proofErr w:type="spellEnd"/>
            <w:r w:rsidR="00AE2B1D">
              <w:rPr>
                <w:rStyle w:val="Other"/>
              </w:rPr>
              <w:t xml:space="preserve"> viešųjų įstaigų turto valdymo kontrolės ir stebėsenos priemonių.</w:t>
            </w:r>
          </w:p>
        </w:tc>
        <w:tc>
          <w:tcPr>
            <w:tcW w:w="5656" w:type="dxa"/>
            <w:shd w:val="clear" w:color="auto" w:fill="auto"/>
          </w:tcPr>
          <w:p w14:paraId="4CCAE583" w14:textId="43B5829A" w:rsidR="008549B6" w:rsidRPr="00003011" w:rsidRDefault="00003011" w:rsidP="008549B6">
            <w:pPr>
              <w:ind w:left="142" w:right="293"/>
              <w:jc w:val="both"/>
              <w:rPr>
                <w:rFonts w:ascii="Times New Roman" w:hAnsi="Times New Roman" w:cs="Times New Roman"/>
              </w:rPr>
            </w:pPr>
            <w:r w:rsidRPr="00003011">
              <w:rPr>
                <w:rStyle w:val="Other"/>
                <w:rFonts w:eastAsia="Arial Unicode MS"/>
              </w:rPr>
              <w:t>Švietimo ir mokslo ministerija informavo, kad ji visiškai sutinka su STT nuomone, kad daugelis panaudos gavėjų užsiima iš dalies ir ūkine ir komercine veikla, kuri jų veikloje yra būtina mokymo dalis ir pan. Deja, su tuo kategoriškai nesutinka Konkurencijos taryba ir būtent Konkurencijos tarybos dėka Švietimo ir mokslo ministerijos rengiamuose Lietuvos Respublikos Vyriausybės nutarimų projektuose dėl panaudos atsiranda formuluotė „išskyrus ūkinę ir komercinę veiklą“, ši nuostata įrašoma ir į panaudos sutartis. M</w:t>
            </w:r>
            <w:r w:rsidRPr="00003011">
              <w:rPr>
                <w:rFonts w:ascii="Times New Roman" w:hAnsi="Times New Roman" w:cs="Times New Roman"/>
              </w:rPr>
              <w:t>inisterija Lietuvos Respublikos švietimo ir mokslo ministro 2015 m. balandžio 7 d. įsakymu Nr. V-311 „Dėl Valstybės nekilnojamojo turto, valdomo Švietimo ir mokslo ministerijos patikėjimo teise, perdavimo pagal panaudos sutartis kitiems subjektams, taisyklių patvirtinimo“ patvirtino atitinkamas taisykles visam nekilnojamajam turtui, nors tai daugeliu atvejų visiškas Kaip buvo minėta anksčiau, Švietimo ir mokslo ministerija kreipėsi į Finansų ministeriją, prašydama suderinus su Konkurencijos taryba, atitinkamai tikslinti teisinį reglamentavimą ir inicijuoti norminių teisės aktų pakeitimo procedūras. ministerija dėl 3.4 papunkčio, kreipėsi į Ūkio ministeriją, nes, Švietimo ir mokslo ministerijos nuomone, tai aktualu visiems valstybės turto valdytojams, todėl pasiūlymai turėtų būti įgyvendinami centralizuotai, tačiau Ūkio ministerija atsisakė inicijuoti Švietimo ir mokslo ministerijos siūlomų pakeitimo procedūrą.</w:t>
            </w:r>
          </w:p>
        </w:tc>
        <w:tc>
          <w:tcPr>
            <w:tcW w:w="3843" w:type="dxa"/>
            <w:shd w:val="clear" w:color="auto" w:fill="auto"/>
          </w:tcPr>
          <w:p w14:paraId="691C6A27" w14:textId="77777777" w:rsidR="008549B6" w:rsidRDefault="008549B6" w:rsidP="008549B6">
            <w:pPr>
              <w:pStyle w:val="Other0"/>
              <w:ind w:left="142" w:right="293"/>
            </w:pPr>
            <w:r>
              <w:rPr>
                <w:rStyle w:val="Other"/>
                <w:b/>
                <w:bCs/>
                <w:color w:val="FF0000"/>
              </w:rPr>
              <w:t>Neįgyvendinta</w:t>
            </w:r>
          </w:p>
          <w:p w14:paraId="1ED3B07A" w14:textId="0221502F" w:rsidR="008549B6" w:rsidRDefault="008549B6" w:rsidP="008549B6">
            <w:pPr>
              <w:ind w:left="142" w:right="293"/>
              <w:jc w:val="both"/>
            </w:pPr>
            <w:r>
              <w:rPr>
                <w:rStyle w:val="Other"/>
                <w:rFonts w:eastAsia="Arial Unicode MS"/>
              </w:rPr>
              <w:t>Atkreiptinas dėmesys, kad korupcijos rizikos analizės išvados pasiūlymai buvo pateikti Švietimo ir mokslo ministerijai, kuri savo kompetencijos ribose turėtų įgyvendinti šiuos pasiūlymus, neįpareigodama kitų institucijų ir tikslindama savo teisinį reglamentavimą, sudaromų panaudos sutarčių nuostatas ir pan.</w:t>
            </w:r>
          </w:p>
        </w:tc>
      </w:tr>
      <w:tr w:rsidR="008549B6" w14:paraId="5449CCDB" w14:textId="77777777" w:rsidTr="00AE2B1D">
        <w:trPr>
          <w:trHeight w:hRule="exact" w:val="6237"/>
          <w:jc w:val="center"/>
        </w:trPr>
        <w:tc>
          <w:tcPr>
            <w:tcW w:w="846" w:type="dxa"/>
            <w:vMerge/>
            <w:shd w:val="clear" w:color="auto" w:fill="auto"/>
          </w:tcPr>
          <w:p w14:paraId="5374EFB2" w14:textId="77777777" w:rsidR="008549B6" w:rsidRDefault="008549B6" w:rsidP="008549B6">
            <w:pPr>
              <w:pStyle w:val="Other0"/>
              <w:spacing w:before="100"/>
              <w:ind w:left="142" w:right="293"/>
              <w:rPr>
                <w:rStyle w:val="Other"/>
              </w:rPr>
            </w:pPr>
          </w:p>
        </w:tc>
        <w:tc>
          <w:tcPr>
            <w:tcW w:w="4266" w:type="dxa"/>
            <w:vMerge/>
            <w:shd w:val="clear" w:color="auto" w:fill="auto"/>
          </w:tcPr>
          <w:p w14:paraId="481C5D19" w14:textId="77777777" w:rsidR="008549B6" w:rsidRDefault="008549B6" w:rsidP="008549B6">
            <w:pPr>
              <w:pStyle w:val="Other0"/>
              <w:ind w:left="142" w:right="293"/>
              <w:jc w:val="both"/>
              <w:rPr>
                <w:rStyle w:val="Other"/>
              </w:rPr>
            </w:pPr>
          </w:p>
        </w:tc>
        <w:tc>
          <w:tcPr>
            <w:tcW w:w="5656" w:type="dxa"/>
            <w:shd w:val="clear" w:color="auto" w:fill="auto"/>
          </w:tcPr>
          <w:p w14:paraId="4A397A53" w14:textId="77777777" w:rsidR="008549B6" w:rsidRPr="00630F51" w:rsidRDefault="008549B6" w:rsidP="008549B6">
            <w:pPr>
              <w:pStyle w:val="Other0"/>
              <w:ind w:left="120" w:right="293"/>
              <w:jc w:val="both"/>
              <w:rPr>
                <w:rStyle w:val="Other"/>
                <w:b/>
                <w:bCs/>
              </w:rPr>
            </w:pPr>
            <w:r w:rsidRPr="00630F51">
              <w:rPr>
                <w:rStyle w:val="Other"/>
                <w:b/>
                <w:bCs/>
              </w:rPr>
              <w:t>2024-09-23</w:t>
            </w:r>
          </w:p>
          <w:p w14:paraId="1A16A2BD" w14:textId="77777777" w:rsidR="008549B6" w:rsidRPr="002B5C6D" w:rsidRDefault="008549B6" w:rsidP="008549B6">
            <w:pPr>
              <w:ind w:left="120" w:right="293"/>
              <w:jc w:val="both"/>
              <w:rPr>
                <w:rFonts w:ascii="Times New Roman" w:hAnsi="Times New Roman"/>
              </w:rPr>
            </w:pPr>
            <w:r w:rsidRPr="002B5C6D">
              <w:rPr>
                <w:rFonts w:ascii="Times New Roman" w:hAnsi="Times New Roman"/>
              </w:rPr>
              <w:t xml:space="preserve">ŠMSM nuomone, </w:t>
            </w:r>
            <w:r>
              <w:rPr>
                <w:rFonts w:ascii="Times New Roman" w:hAnsi="Times New Roman"/>
              </w:rPr>
              <w:t>pasiūlymas</w:t>
            </w:r>
            <w:r w:rsidRPr="002B5C6D">
              <w:rPr>
                <w:rFonts w:ascii="Times New Roman" w:hAnsi="Times New Roman"/>
              </w:rPr>
              <w:t xml:space="preserve"> n</w:t>
            </w:r>
            <w:r>
              <w:rPr>
                <w:rFonts w:ascii="Times New Roman" w:hAnsi="Times New Roman"/>
              </w:rPr>
              <w:t>ebė</w:t>
            </w:r>
            <w:r w:rsidRPr="002B5C6D">
              <w:rPr>
                <w:rFonts w:ascii="Times New Roman" w:hAnsi="Times New Roman"/>
              </w:rPr>
              <w:t>ra aktualus, nes nuo 2024</w:t>
            </w:r>
            <w:r>
              <w:rPr>
                <w:rFonts w:ascii="Times New Roman" w:hAnsi="Times New Roman"/>
              </w:rPr>
              <w:t xml:space="preserve"> m. gegužės </w:t>
            </w:r>
            <w:r w:rsidRPr="002B5C6D">
              <w:rPr>
                <w:rFonts w:ascii="Times New Roman" w:hAnsi="Times New Roman"/>
              </w:rPr>
              <w:t xml:space="preserve">15 </w:t>
            </w:r>
            <w:r>
              <w:rPr>
                <w:rFonts w:ascii="Times New Roman" w:hAnsi="Times New Roman"/>
              </w:rPr>
              <w:t xml:space="preserve">d. </w:t>
            </w:r>
            <w:r w:rsidRPr="002B5C6D">
              <w:rPr>
                <w:rFonts w:ascii="Times New Roman" w:hAnsi="Times New Roman"/>
              </w:rPr>
              <w:t>patalpas, kuriomis naudojosi Šiuolaikinės mokyklos centras, Žygimantų g. 4, Vilniuje, ji perdavė VĮ Turto bankui. Šv. Ignaco Lojolos kolegijos nekilnojamo</w:t>
            </w:r>
            <w:r>
              <w:rPr>
                <w:rFonts w:ascii="Times New Roman" w:hAnsi="Times New Roman"/>
              </w:rPr>
              <w:t>jo</w:t>
            </w:r>
            <w:r w:rsidRPr="002B5C6D">
              <w:rPr>
                <w:rFonts w:ascii="Times New Roman" w:hAnsi="Times New Roman"/>
              </w:rPr>
              <w:t xml:space="preserve"> turto panauda taip pat pasibaigusi ir nepratęsta, šiai kolegijai nesuteikta galimybė naudotis valstybės patikėjimo teise valdomu turtu. Daugiau nėra atvejų, kai įtaigoms, kurių dalininkė nėra valstybė, netaikomos konkurencingos nuomos viešo konkurso būdu procedūros. </w:t>
            </w:r>
          </w:p>
          <w:p w14:paraId="032C7555" w14:textId="79D8CD26" w:rsidR="008549B6" w:rsidRDefault="008549B6" w:rsidP="00AE5668">
            <w:pPr>
              <w:ind w:left="142" w:right="293"/>
              <w:jc w:val="both"/>
            </w:pPr>
            <w:r w:rsidRPr="002B5C6D">
              <w:rPr>
                <w:rFonts w:ascii="Times New Roman" w:hAnsi="Times New Roman"/>
              </w:rPr>
              <w:t>Taip pat pažymėtina, kad aktualioje Lietuvos Respublikos valstybės ir savivaldybių turto valdymo, naudojimo ir disponavimo juo įstatymo redakcijoje 14 straipsnyje nustatyta, kad valstybės ir savivaldybių turtas minėtame straipsnyje išvardintiems subjektams perduodamas Vyriausybės arba savivaldybės tarybos nustatyta tvarka kitiems subjektams – jeigu tokio perdavimo tvarka ir sąlygos nustatytos atitinkamuose minėtame straipsnyje išvardintuose teisės aktuose</w:t>
            </w:r>
            <w:r w:rsidR="009B5EE4">
              <w:rPr>
                <w:rFonts w:ascii="Times New Roman" w:hAnsi="Times New Roman"/>
              </w:rPr>
              <w:t>.</w:t>
            </w:r>
          </w:p>
        </w:tc>
        <w:tc>
          <w:tcPr>
            <w:tcW w:w="3843" w:type="dxa"/>
            <w:shd w:val="clear" w:color="auto" w:fill="auto"/>
          </w:tcPr>
          <w:p w14:paraId="2002C777" w14:textId="77777777" w:rsidR="008549B6" w:rsidRDefault="008549B6" w:rsidP="008549B6">
            <w:pPr>
              <w:pStyle w:val="Other0"/>
              <w:ind w:left="142" w:right="293"/>
              <w:jc w:val="both"/>
              <w:rPr>
                <w:rStyle w:val="Other"/>
                <w:b/>
                <w:bCs/>
              </w:rPr>
            </w:pPr>
            <w:r>
              <w:rPr>
                <w:rStyle w:val="Other"/>
                <w:b/>
                <w:bCs/>
              </w:rPr>
              <w:t>2024-10-03</w:t>
            </w:r>
          </w:p>
          <w:p w14:paraId="25AAE9E3" w14:textId="77777777" w:rsidR="008549B6" w:rsidRPr="00494C1B" w:rsidRDefault="008549B6" w:rsidP="008549B6">
            <w:pPr>
              <w:pStyle w:val="Other0"/>
              <w:ind w:left="142" w:right="293"/>
              <w:jc w:val="both"/>
              <w:rPr>
                <w:rStyle w:val="Other"/>
                <w:b/>
                <w:bCs/>
                <w:color w:val="808080" w:themeColor="background1" w:themeShade="80"/>
              </w:rPr>
            </w:pPr>
            <w:r>
              <w:rPr>
                <w:rStyle w:val="Other"/>
                <w:b/>
                <w:bCs/>
                <w:color w:val="808080" w:themeColor="background1" w:themeShade="80"/>
              </w:rPr>
              <w:t>Neaktualu</w:t>
            </w:r>
          </w:p>
          <w:p w14:paraId="28DB7226" w14:textId="77777777" w:rsidR="008549B6" w:rsidRDefault="008549B6" w:rsidP="008549B6">
            <w:pPr>
              <w:pStyle w:val="Other0"/>
              <w:ind w:left="142" w:right="293"/>
              <w:jc w:val="both"/>
              <w:rPr>
                <w:rStyle w:val="Other"/>
              </w:rPr>
            </w:pPr>
            <w:r>
              <w:t>ŠMSM nuomonei ir argumentams pritariam. Pasiūlymas neaktualus.</w:t>
            </w:r>
          </w:p>
          <w:p w14:paraId="05B6D6A1" w14:textId="77777777" w:rsidR="008549B6" w:rsidRDefault="008549B6" w:rsidP="008549B6">
            <w:pPr>
              <w:pStyle w:val="Other0"/>
              <w:ind w:left="142" w:right="293"/>
              <w:jc w:val="both"/>
              <w:rPr>
                <w:rStyle w:val="Other"/>
                <w:color w:val="auto"/>
              </w:rPr>
            </w:pPr>
            <w:r w:rsidRPr="000146B1">
              <w:rPr>
                <w:rStyle w:val="Other"/>
                <w:color w:val="auto"/>
              </w:rPr>
              <w:t>Pastabų ir pasiūlymų nėra</w:t>
            </w:r>
          </w:p>
          <w:p w14:paraId="5B9DEAE9" w14:textId="52548227" w:rsidR="008549B6" w:rsidRDefault="008549B6" w:rsidP="008549B6">
            <w:pPr>
              <w:ind w:left="142" w:right="293"/>
              <w:jc w:val="both"/>
            </w:pPr>
            <w:r>
              <w:rPr>
                <w:rStyle w:val="Other"/>
                <w:rFonts w:eastAsia="Arial Unicode MS"/>
                <w:color w:val="auto"/>
              </w:rPr>
              <w:t>Stebėsena baigta</w:t>
            </w:r>
          </w:p>
        </w:tc>
      </w:tr>
    </w:tbl>
    <w:p w14:paraId="5F407B56" w14:textId="77777777" w:rsidR="007C1C01" w:rsidRDefault="003E0CC5" w:rsidP="005F5640">
      <w:pPr>
        <w:spacing w:line="1" w:lineRule="exact"/>
        <w:ind w:left="142" w:right="293"/>
        <w:rPr>
          <w:sz w:val="2"/>
          <w:szCs w:val="2"/>
        </w:rPr>
      </w:pPr>
      <w:r>
        <w:br w:type="page"/>
      </w:r>
    </w:p>
    <w:tbl>
      <w:tblPr>
        <w:tblOverlap w:val="never"/>
        <w:tblW w:w="14611" w:type="dxa"/>
        <w:jc w:val="center"/>
        <w:tblLayout w:type="fixed"/>
        <w:tblCellMar>
          <w:left w:w="10" w:type="dxa"/>
          <w:right w:w="10" w:type="dxa"/>
        </w:tblCellMar>
        <w:tblLook w:val="0000" w:firstRow="0" w:lastRow="0" w:firstColumn="0" w:lastColumn="0" w:noHBand="0" w:noVBand="0"/>
      </w:tblPr>
      <w:tblGrid>
        <w:gridCol w:w="846"/>
        <w:gridCol w:w="4394"/>
        <w:gridCol w:w="5245"/>
        <w:gridCol w:w="4126"/>
      </w:tblGrid>
      <w:tr w:rsidR="007C1C01" w14:paraId="3371F80F" w14:textId="77777777" w:rsidTr="000146B1">
        <w:trPr>
          <w:trHeight w:hRule="exact" w:val="485"/>
          <w:jc w:val="center"/>
        </w:trPr>
        <w:tc>
          <w:tcPr>
            <w:tcW w:w="14611" w:type="dxa"/>
            <w:gridSpan w:val="4"/>
            <w:tcBorders>
              <w:top w:val="single" w:sz="4" w:space="0" w:color="auto"/>
              <w:left w:val="single" w:sz="4" w:space="0" w:color="auto"/>
              <w:right w:val="single" w:sz="4" w:space="0" w:color="auto"/>
            </w:tcBorders>
            <w:shd w:val="clear" w:color="auto" w:fill="auto"/>
          </w:tcPr>
          <w:p w14:paraId="527D7EB0" w14:textId="77777777" w:rsidR="007C1C01" w:rsidRDefault="003E0CC5" w:rsidP="005F5640">
            <w:pPr>
              <w:pStyle w:val="Other0"/>
              <w:ind w:left="142"/>
            </w:pPr>
            <w:r>
              <w:rPr>
                <w:rStyle w:val="Other"/>
                <w:i/>
                <w:iCs/>
              </w:rPr>
              <w:lastRenderedPageBreak/>
              <w:t>4. Dėl antikorupcinės veiklos Lietuvos Respublikos švietimo ir mokslo ministerijoje ir jai pavaldžiose institucijose, siūlome:</w:t>
            </w:r>
          </w:p>
        </w:tc>
      </w:tr>
      <w:tr w:rsidR="007C1C01" w14:paraId="74D8F8DE" w14:textId="77777777" w:rsidTr="00BB712B">
        <w:trPr>
          <w:trHeight w:hRule="exact" w:val="2102"/>
          <w:jc w:val="center"/>
        </w:trPr>
        <w:tc>
          <w:tcPr>
            <w:tcW w:w="846" w:type="dxa"/>
            <w:tcBorders>
              <w:top w:val="single" w:sz="4" w:space="0" w:color="auto"/>
              <w:left w:val="single" w:sz="4" w:space="0" w:color="auto"/>
            </w:tcBorders>
            <w:shd w:val="clear" w:color="auto" w:fill="auto"/>
          </w:tcPr>
          <w:p w14:paraId="36463449" w14:textId="77777777" w:rsidR="007C1C01" w:rsidRDefault="003E0CC5" w:rsidP="005F5640">
            <w:pPr>
              <w:pStyle w:val="Other0"/>
              <w:ind w:left="142" w:right="293"/>
            </w:pPr>
            <w:r>
              <w:rPr>
                <w:rStyle w:val="Other"/>
              </w:rPr>
              <w:t>4.1.</w:t>
            </w:r>
          </w:p>
        </w:tc>
        <w:tc>
          <w:tcPr>
            <w:tcW w:w="4394" w:type="dxa"/>
            <w:tcBorders>
              <w:top w:val="single" w:sz="4" w:space="0" w:color="auto"/>
              <w:left w:val="single" w:sz="4" w:space="0" w:color="auto"/>
            </w:tcBorders>
            <w:shd w:val="clear" w:color="auto" w:fill="auto"/>
          </w:tcPr>
          <w:p w14:paraId="3E50B062" w14:textId="77777777" w:rsidR="007C1C01" w:rsidRDefault="003E0CC5" w:rsidP="005F5640">
            <w:pPr>
              <w:pStyle w:val="Other0"/>
              <w:ind w:left="142" w:right="293"/>
              <w:jc w:val="both"/>
            </w:pPr>
            <w:r>
              <w:rPr>
                <w:rStyle w:val="Other"/>
              </w:rPr>
              <w:t>Kiekvienais metais nustatyti veiklos sritis, kuriose egzistuoja didelė korupcijos pasireiškimo tikimybė, jas įvertinti ir nustatyti korupcijos rizikos veiksnius, numatyti priemones, kurių būtina imtis nustatytiems korupcijos rizikos veiksniams valdyti ar pašalinti.</w:t>
            </w:r>
          </w:p>
        </w:tc>
        <w:tc>
          <w:tcPr>
            <w:tcW w:w="5245" w:type="dxa"/>
            <w:vMerge w:val="restart"/>
            <w:tcBorders>
              <w:top w:val="single" w:sz="4" w:space="0" w:color="auto"/>
              <w:left w:val="single" w:sz="4" w:space="0" w:color="auto"/>
            </w:tcBorders>
            <w:shd w:val="clear" w:color="auto" w:fill="auto"/>
          </w:tcPr>
          <w:p w14:paraId="388B6D9A" w14:textId="6C0B2D36" w:rsidR="007C1C01" w:rsidRDefault="003E0CC5" w:rsidP="005F5640">
            <w:pPr>
              <w:pStyle w:val="Other0"/>
              <w:ind w:left="142" w:right="293"/>
              <w:jc w:val="both"/>
            </w:pPr>
            <w:r>
              <w:rPr>
                <w:rStyle w:val="Other"/>
              </w:rPr>
              <w:t xml:space="preserve">Švietimo ir mokslo ministerija informavo, kad Lietuvos Respublikos švietimo ir mokslo ministro 2017 m. spalio 19 d. įsakymu Nr. V-797 „Dėl Lietuvos Respublikos švietimo ir mokslo ministerijos ir jai pavaldžių įstaigų korupcijos prevencijos tvarkos aprašo patvirtinimo“ patvirtintas Lietuvos Respublikos švietimo ir mokslo ministerijos ir jai pavaldžių įstaigų korupcijos prevencijos tvarkos aprašas. Jame nustatyta, kad iki </w:t>
            </w:r>
            <w:r w:rsidR="008549B6">
              <w:rPr>
                <w:rStyle w:val="Other"/>
              </w:rPr>
              <w:t xml:space="preserve">2017 m. </w:t>
            </w:r>
            <w:r>
              <w:rPr>
                <w:rStyle w:val="Other"/>
              </w:rPr>
              <w:t>IV ketvirčio pradžios ministerija ir jai pavaldžios įstaigos turi nustatyti ir įvertinti veiklos sritis, kuriose egzistuoja didelė korupcijos pasireiškimo tikimybė. Remiantis vertinimo duomenimis bus parengta bendra motyvuota išvada dėl ministerijos ir jai pavaldžių įstaigų veiklos sričių, kuriose egzistuoja didelė korupcijos pasireiškimo tikimybė per mėnesį nuo pasirašymo dienos bus pateikta STT ir paskelbta ministerijos interneto svetainėje.</w:t>
            </w:r>
          </w:p>
        </w:tc>
        <w:tc>
          <w:tcPr>
            <w:tcW w:w="4126" w:type="dxa"/>
            <w:vMerge w:val="restart"/>
            <w:tcBorders>
              <w:top w:val="single" w:sz="4" w:space="0" w:color="auto"/>
              <w:left w:val="single" w:sz="4" w:space="0" w:color="auto"/>
              <w:right w:val="single" w:sz="4" w:space="0" w:color="auto"/>
            </w:tcBorders>
            <w:shd w:val="clear" w:color="auto" w:fill="auto"/>
          </w:tcPr>
          <w:p w14:paraId="57F88A28" w14:textId="32AE6EF6" w:rsidR="007C1C01" w:rsidRDefault="008549B6" w:rsidP="005F5640">
            <w:pPr>
              <w:pStyle w:val="Other0"/>
              <w:ind w:left="142" w:right="293"/>
            </w:pPr>
            <w:r w:rsidRPr="008549B6">
              <w:rPr>
                <w:rStyle w:val="Other"/>
                <w:b/>
                <w:bCs/>
                <w:color w:val="00B0F0"/>
              </w:rPr>
              <w:t>P</w:t>
            </w:r>
            <w:r w:rsidR="003E0CC5" w:rsidRPr="008549B6">
              <w:rPr>
                <w:rStyle w:val="Other"/>
                <w:b/>
                <w:bCs/>
                <w:color w:val="00B0F0"/>
              </w:rPr>
              <w:t>lanuojama įgyvendinti.</w:t>
            </w:r>
          </w:p>
        </w:tc>
      </w:tr>
      <w:tr w:rsidR="007C1C01" w14:paraId="0C46E93C" w14:textId="77777777" w:rsidTr="00BB712B">
        <w:trPr>
          <w:trHeight w:hRule="exact" w:val="1695"/>
          <w:jc w:val="center"/>
        </w:trPr>
        <w:tc>
          <w:tcPr>
            <w:tcW w:w="846" w:type="dxa"/>
            <w:tcBorders>
              <w:top w:val="single" w:sz="4" w:space="0" w:color="auto"/>
              <w:left w:val="single" w:sz="4" w:space="0" w:color="auto"/>
            </w:tcBorders>
            <w:shd w:val="clear" w:color="auto" w:fill="auto"/>
          </w:tcPr>
          <w:p w14:paraId="42D062C5" w14:textId="77777777" w:rsidR="007C1C01" w:rsidRDefault="003E0CC5" w:rsidP="005F5640">
            <w:pPr>
              <w:pStyle w:val="Other0"/>
              <w:spacing w:before="100"/>
              <w:ind w:left="142" w:right="293"/>
            </w:pPr>
            <w:r>
              <w:rPr>
                <w:rStyle w:val="Other"/>
              </w:rPr>
              <w:t>4.2.</w:t>
            </w:r>
          </w:p>
        </w:tc>
        <w:tc>
          <w:tcPr>
            <w:tcW w:w="4394" w:type="dxa"/>
            <w:tcBorders>
              <w:top w:val="single" w:sz="4" w:space="0" w:color="auto"/>
              <w:left w:val="single" w:sz="4" w:space="0" w:color="auto"/>
            </w:tcBorders>
            <w:shd w:val="clear" w:color="auto" w:fill="auto"/>
          </w:tcPr>
          <w:p w14:paraId="4F69FECD" w14:textId="77777777" w:rsidR="007C1C01" w:rsidRDefault="003E0CC5" w:rsidP="005F5640">
            <w:pPr>
              <w:pStyle w:val="Other0"/>
              <w:ind w:left="142" w:right="293"/>
              <w:jc w:val="both"/>
            </w:pPr>
            <w:r>
              <w:rPr>
                <w:rStyle w:val="Other"/>
              </w:rPr>
              <w:t>Nustatant veiklos sritis, kuriose egzistuoja didelė korupcijos pasireiškimo tikimybė, atkreipti dėmesį į NKKP III skirsnio 14.8.3 punkte minimus korupcijos rizikos veiksnius švietimo ir mokslo sistemoje.</w:t>
            </w:r>
          </w:p>
        </w:tc>
        <w:tc>
          <w:tcPr>
            <w:tcW w:w="5245" w:type="dxa"/>
            <w:vMerge/>
            <w:tcBorders>
              <w:left w:val="single" w:sz="4" w:space="0" w:color="auto"/>
            </w:tcBorders>
            <w:shd w:val="clear" w:color="auto" w:fill="auto"/>
          </w:tcPr>
          <w:p w14:paraId="3060D325" w14:textId="77777777" w:rsidR="007C1C01" w:rsidRDefault="007C1C01" w:rsidP="005F5640">
            <w:pPr>
              <w:ind w:left="142" w:right="293"/>
            </w:pPr>
          </w:p>
        </w:tc>
        <w:tc>
          <w:tcPr>
            <w:tcW w:w="4126" w:type="dxa"/>
            <w:vMerge/>
            <w:tcBorders>
              <w:left w:val="single" w:sz="4" w:space="0" w:color="auto"/>
              <w:right w:val="single" w:sz="4" w:space="0" w:color="auto"/>
            </w:tcBorders>
            <w:shd w:val="clear" w:color="auto" w:fill="auto"/>
          </w:tcPr>
          <w:p w14:paraId="0D90EFA9" w14:textId="77777777" w:rsidR="007C1C01" w:rsidRDefault="007C1C01" w:rsidP="005F5640">
            <w:pPr>
              <w:ind w:left="142" w:right="293"/>
            </w:pPr>
          </w:p>
        </w:tc>
      </w:tr>
      <w:tr w:rsidR="007C1C01" w14:paraId="716BE024" w14:textId="77777777" w:rsidTr="00BB712B">
        <w:trPr>
          <w:trHeight w:hRule="exact" w:val="2013"/>
          <w:jc w:val="center"/>
        </w:trPr>
        <w:tc>
          <w:tcPr>
            <w:tcW w:w="846" w:type="dxa"/>
            <w:tcBorders>
              <w:top w:val="single" w:sz="4" w:space="0" w:color="auto"/>
              <w:left w:val="single" w:sz="4" w:space="0" w:color="auto"/>
            </w:tcBorders>
            <w:shd w:val="clear" w:color="auto" w:fill="auto"/>
          </w:tcPr>
          <w:p w14:paraId="176E572D" w14:textId="77777777" w:rsidR="007C1C01" w:rsidRDefault="003E0CC5" w:rsidP="005F5640">
            <w:pPr>
              <w:pStyle w:val="Other0"/>
              <w:spacing w:before="100"/>
              <w:ind w:left="142" w:right="293"/>
            </w:pPr>
            <w:r>
              <w:rPr>
                <w:rStyle w:val="Other"/>
              </w:rPr>
              <w:t>4.3.</w:t>
            </w:r>
          </w:p>
        </w:tc>
        <w:tc>
          <w:tcPr>
            <w:tcW w:w="4394" w:type="dxa"/>
            <w:tcBorders>
              <w:top w:val="single" w:sz="4" w:space="0" w:color="auto"/>
              <w:left w:val="single" w:sz="4" w:space="0" w:color="auto"/>
            </w:tcBorders>
            <w:shd w:val="clear" w:color="auto" w:fill="auto"/>
          </w:tcPr>
          <w:p w14:paraId="7F130B8C" w14:textId="77777777" w:rsidR="007C1C01" w:rsidRDefault="003E0CC5" w:rsidP="005F5640">
            <w:pPr>
              <w:pStyle w:val="Other0"/>
              <w:ind w:left="142" w:right="293"/>
              <w:jc w:val="both"/>
            </w:pPr>
            <w:r>
              <w:rPr>
                <w:rStyle w:val="Other"/>
              </w:rPr>
              <w:t>Užtikrinti, kad pavaldžios institucijos kiekvienų metų III ketvirtį nustatytų ir įvertintų savo veiklos sritis, kuriose egzistuoja didelė korupcijos pasireiškimo tikimybė ir informaciją apie tai pateiktų Švietimo ir mokslo ministerijai.</w:t>
            </w:r>
          </w:p>
        </w:tc>
        <w:tc>
          <w:tcPr>
            <w:tcW w:w="5245" w:type="dxa"/>
            <w:vMerge/>
            <w:tcBorders>
              <w:left w:val="single" w:sz="4" w:space="0" w:color="auto"/>
            </w:tcBorders>
            <w:shd w:val="clear" w:color="auto" w:fill="auto"/>
          </w:tcPr>
          <w:p w14:paraId="18AEEE87" w14:textId="77777777" w:rsidR="007C1C01" w:rsidRDefault="007C1C01" w:rsidP="005F5640">
            <w:pPr>
              <w:ind w:left="142" w:right="293"/>
            </w:pPr>
          </w:p>
        </w:tc>
        <w:tc>
          <w:tcPr>
            <w:tcW w:w="4126" w:type="dxa"/>
            <w:vMerge/>
            <w:tcBorders>
              <w:left w:val="single" w:sz="4" w:space="0" w:color="auto"/>
              <w:right w:val="single" w:sz="4" w:space="0" w:color="auto"/>
            </w:tcBorders>
            <w:shd w:val="clear" w:color="auto" w:fill="auto"/>
          </w:tcPr>
          <w:p w14:paraId="0A015D7B" w14:textId="77777777" w:rsidR="007C1C01" w:rsidRDefault="007C1C01" w:rsidP="005F5640">
            <w:pPr>
              <w:ind w:left="142" w:right="293"/>
            </w:pPr>
          </w:p>
        </w:tc>
      </w:tr>
      <w:tr w:rsidR="007C1C01" w14:paraId="4E6E6AA9" w14:textId="77777777" w:rsidTr="00BB712B">
        <w:trPr>
          <w:trHeight w:hRule="exact" w:val="1402"/>
          <w:jc w:val="center"/>
        </w:trPr>
        <w:tc>
          <w:tcPr>
            <w:tcW w:w="846" w:type="dxa"/>
            <w:tcBorders>
              <w:top w:val="single" w:sz="4" w:space="0" w:color="auto"/>
              <w:left w:val="single" w:sz="4" w:space="0" w:color="auto"/>
              <w:bottom w:val="single" w:sz="4" w:space="0" w:color="auto"/>
            </w:tcBorders>
            <w:shd w:val="clear" w:color="auto" w:fill="auto"/>
          </w:tcPr>
          <w:p w14:paraId="5282C894" w14:textId="77777777" w:rsidR="007C1C01" w:rsidRDefault="003E0CC5" w:rsidP="005F5640">
            <w:pPr>
              <w:pStyle w:val="Other0"/>
              <w:spacing w:before="100"/>
              <w:ind w:left="142" w:right="293"/>
            </w:pPr>
            <w:r>
              <w:rPr>
                <w:rStyle w:val="Other"/>
              </w:rPr>
              <w:t>4.4.</w:t>
            </w:r>
          </w:p>
        </w:tc>
        <w:tc>
          <w:tcPr>
            <w:tcW w:w="4394" w:type="dxa"/>
            <w:tcBorders>
              <w:top w:val="single" w:sz="4" w:space="0" w:color="auto"/>
              <w:left w:val="single" w:sz="4" w:space="0" w:color="auto"/>
              <w:bottom w:val="single" w:sz="4" w:space="0" w:color="auto"/>
            </w:tcBorders>
            <w:shd w:val="clear" w:color="auto" w:fill="auto"/>
          </w:tcPr>
          <w:p w14:paraId="7E55A736" w14:textId="77777777" w:rsidR="007C1C01" w:rsidRDefault="003E0CC5" w:rsidP="005F5640">
            <w:pPr>
              <w:pStyle w:val="Other0"/>
              <w:ind w:left="142" w:right="293"/>
              <w:jc w:val="both"/>
            </w:pPr>
            <w:r>
              <w:rPr>
                <w:rStyle w:val="Other"/>
              </w:rPr>
              <w:t>Motyvuotą išvadą dėl korupcijos pasireiškimo tikimybės nustatymo per mėnesį nuo pasirašymo dienos pateikti Specialiųjų tyrimų tarnybai ir paskelbti ministerijos interneto svetainėje.</w:t>
            </w:r>
          </w:p>
        </w:tc>
        <w:tc>
          <w:tcPr>
            <w:tcW w:w="5245" w:type="dxa"/>
            <w:vMerge/>
            <w:tcBorders>
              <w:left w:val="single" w:sz="4" w:space="0" w:color="auto"/>
              <w:bottom w:val="single" w:sz="4" w:space="0" w:color="auto"/>
            </w:tcBorders>
            <w:shd w:val="clear" w:color="auto" w:fill="auto"/>
          </w:tcPr>
          <w:p w14:paraId="36FCAD77" w14:textId="77777777" w:rsidR="007C1C01" w:rsidRDefault="007C1C01" w:rsidP="005F5640">
            <w:pPr>
              <w:ind w:left="142" w:right="293"/>
            </w:pPr>
          </w:p>
        </w:tc>
        <w:tc>
          <w:tcPr>
            <w:tcW w:w="4126" w:type="dxa"/>
            <w:vMerge/>
            <w:tcBorders>
              <w:left w:val="single" w:sz="4" w:space="0" w:color="auto"/>
              <w:bottom w:val="single" w:sz="4" w:space="0" w:color="auto"/>
              <w:right w:val="single" w:sz="4" w:space="0" w:color="auto"/>
            </w:tcBorders>
            <w:shd w:val="clear" w:color="auto" w:fill="auto"/>
          </w:tcPr>
          <w:p w14:paraId="169788F9" w14:textId="77777777" w:rsidR="007C1C01" w:rsidRDefault="007C1C01" w:rsidP="005F5640">
            <w:pPr>
              <w:ind w:left="142" w:right="293"/>
            </w:pPr>
          </w:p>
        </w:tc>
      </w:tr>
      <w:tr w:rsidR="00AE5668" w14:paraId="3E50F2C7" w14:textId="77777777" w:rsidTr="00AE2B1D">
        <w:trPr>
          <w:trHeight w:hRule="exact" w:val="3289"/>
          <w:jc w:val="center"/>
        </w:trPr>
        <w:tc>
          <w:tcPr>
            <w:tcW w:w="846" w:type="dxa"/>
            <w:tcBorders>
              <w:top w:val="single" w:sz="4" w:space="0" w:color="auto"/>
              <w:left w:val="single" w:sz="4" w:space="0" w:color="auto"/>
              <w:bottom w:val="single" w:sz="4" w:space="0" w:color="auto"/>
            </w:tcBorders>
            <w:shd w:val="clear" w:color="auto" w:fill="auto"/>
          </w:tcPr>
          <w:p w14:paraId="53647F40" w14:textId="18B21EA2" w:rsidR="00AE5668" w:rsidRDefault="00AE5668" w:rsidP="00AE5668">
            <w:pPr>
              <w:pStyle w:val="Other0"/>
              <w:spacing w:before="100"/>
              <w:ind w:left="142" w:right="293"/>
              <w:rPr>
                <w:rStyle w:val="Other"/>
              </w:rPr>
            </w:pPr>
            <w:r>
              <w:rPr>
                <w:rStyle w:val="Other"/>
              </w:rPr>
              <w:lastRenderedPageBreak/>
              <w:t>4.1.</w:t>
            </w:r>
          </w:p>
        </w:tc>
        <w:tc>
          <w:tcPr>
            <w:tcW w:w="4394" w:type="dxa"/>
            <w:tcBorders>
              <w:top w:val="single" w:sz="4" w:space="0" w:color="auto"/>
              <w:left w:val="single" w:sz="4" w:space="0" w:color="auto"/>
              <w:bottom w:val="single" w:sz="4" w:space="0" w:color="auto"/>
            </w:tcBorders>
            <w:shd w:val="clear" w:color="auto" w:fill="auto"/>
          </w:tcPr>
          <w:p w14:paraId="51729224" w14:textId="044DFCE1" w:rsidR="00AE5668" w:rsidRDefault="00AE5668" w:rsidP="00AE5668">
            <w:pPr>
              <w:pStyle w:val="Other0"/>
              <w:ind w:left="142" w:right="293"/>
              <w:jc w:val="both"/>
              <w:rPr>
                <w:rStyle w:val="Other"/>
              </w:rPr>
            </w:pPr>
            <w:r>
              <w:rPr>
                <w:rStyle w:val="Other"/>
              </w:rPr>
              <w:t>Kiekvienais metais nustatyti veiklos sritis, kuriose egzistuoja didelė korupcijos pasireiškimo tikimybė, jas įvertinti ir nustatyti korupcijos rizikos veiksnius, numatyti priemones, kurių būtina imtis nustatytiems korupcijos rizikos veiksniams valdyti ar pašalinti.</w:t>
            </w:r>
          </w:p>
        </w:tc>
        <w:tc>
          <w:tcPr>
            <w:tcW w:w="5245" w:type="dxa"/>
            <w:vMerge w:val="restart"/>
            <w:tcBorders>
              <w:top w:val="single" w:sz="4" w:space="0" w:color="auto"/>
              <w:left w:val="single" w:sz="4" w:space="0" w:color="auto"/>
            </w:tcBorders>
            <w:shd w:val="clear" w:color="auto" w:fill="auto"/>
          </w:tcPr>
          <w:p w14:paraId="4242541F" w14:textId="77777777" w:rsidR="00AE5668" w:rsidRPr="00630F51" w:rsidRDefault="00AE5668" w:rsidP="00AE5668">
            <w:pPr>
              <w:pStyle w:val="Other0"/>
              <w:ind w:left="120" w:right="293"/>
              <w:jc w:val="both"/>
              <w:rPr>
                <w:rStyle w:val="Other"/>
                <w:b/>
                <w:bCs/>
              </w:rPr>
            </w:pPr>
            <w:r w:rsidRPr="00630F51">
              <w:rPr>
                <w:rStyle w:val="Other"/>
                <w:b/>
                <w:bCs/>
              </w:rPr>
              <w:t>2024-09-23</w:t>
            </w:r>
          </w:p>
          <w:p w14:paraId="335D4B64" w14:textId="337E52D4" w:rsidR="00AE5668" w:rsidRDefault="00AE5668" w:rsidP="00AB7E20">
            <w:pPr>
              <w:ind w:left="142" w:right="293"/>
              <w:jc w:val="both"/>
            </w:pPr>
            <w:r>
              <w:rPr>
                <w:rFonts w:ascii="Times New Roman" w:hAnsi="Times New Roman"/>
              </w:rPr>
              <w:t xml:space="preserve">Informacija apie </w:t>
            </w:r>
            <w:r w:rsidR="00AB7E20">
              <w:rPr>
                <w:rFonts w:ascii="Times New Roman" w:hAnsi="Times New Roman"/>
              </w:rPr>
              <w:t xml:space="preserve">šių pasiūlymų </w:t>
            </w:r>
            <w:r>
              <w:rPr>
                <w:rFonts w:ascii="Times New Roman" w:hAnsi="Times New Roman"/>
              </w:rPr>
              <w:t xml:space="preserve">įgyvendinimą </w:t>
            </w:r>
            <w:r w:rsidR="00AB7E20">
              <w:rPr>
                <w:rFonts w:ascii="Times New Roman" w:hAnsi="Times New Roman"/>
              </w:rPr>
              <w:t>pateikta</w:t>
            </w:r>
            <w:r>
              <w:rPr>
                <w:rFonts w:ascii="Times New Roman" w:hAnsi="Times New Roman"/>
              </w:rPr>
              <w:t xml:space="preserve"> </w:t>
            </w:r>
            <w:r w:rsidR="00AB7E20">
              <w:rPr>
                <w:rFonts w:ascii="Times New Roman" w:hAnsi="Times New Roman"/>
              </w:rPr>
              <w:t xml:space="preserve">ŠMSM 2024-2028  m. KPVP projekte (8.7 p.): </w:t>
            </w:r>
            <w:r w:rsidR="00DD5292">
              <w:rPr>
                <w:rFonts w:ascii="Times New Roman" w:hAnsi="Times New Roman"/>
              </w:rPr>
              <w:t>„</w:t>
            </w:r>
            <w:r w:rsidR="00AB7E20" w:rsidRPr="00DD5292">
              <w:rPr>
                <w:rFonts w:ascii="Times New Roman" w:hAnsi="Times New Roman"/>
                <w:i/>
                <w:iCs/>
              </w:rPr>
              <w:t>ŠMSM vertinamos korupcijos rizikos atliekant korupcijos pasireiškimo tikimybės nustatymą. 2020 metais korupcijos pasireiškimo tikimybės nustatymas atliktas ŠMSM ir ŠMSM įstaigose viešųjų ir privačių interesų deklaravimo ir interesų konfliktų valdymo srityje, 2021 metais – ŠMSM ir ŠMSM įstaigose viešųjų pirkimų srityje. Korupcijos pasireiškimo tikimybės vertinimo išvados ir informacija apie jose pateiktų rekomendacijų įgyvendinimą skelbiama minėtų įstaigų interneto svetainėse. 2023 metais pradėta diegti nauja korupcijos pasireiškimo tikimybės nustatymo procedūra pagal Korupcijos pasireiškimo tikimybės nustatymo ir jo atlikimo tvarkos rekomendacijas, patvirtintas Lietuvos Respublikos specialiųjų tyrimų tarnybos direktoriaus 2021 m. lapkričio 30 d. įsakymu Nr. 2-246 „Dėl Korupcijos pasireiškimo tikimybės nustatymo ir jo atlikimo tvarkos rekomendacijų patvirtinimo“ – sudarytas ŠMSM korupcijos rizikų sąrašas, kuris kasmet turi būti peržiūrimas ir korupcijos rizikų lygis įvertinamas pagal tikimybės ir poveikio kriterijus. Didelio rizikos lygio korupcijos rizikų 2023 metais ŠMSM nenustatyta</w:t>
            </w:r>
            <w:r w:rsidR="00DD5292" w:rsidRPr="00DD5292">
              <w:rPr>
                <w:rFonts w:ascii="Times New Roman" w:hAnsi="Times New Roman"/>
                <w:i/>
                <w:iCs/>
              </w:rPr>
              <w:t>.</w:t>
            </w:r>
            <w:r w:rsidR="00DD5292">
              <w:rPr>
                <w:rFonts w:ascii="Times New Roman" w:hAnsi="Times New Roman"/>
              </w:rPr>
              <w:t>“</w:t>
            </w:r>
          </w:p>
        </w:tc>
        <w:tc>
          <w:tcPr>
            <w:tcW w:w="4126" w:type="dxa"/>
            <w:vMerge w:val="restart"/>
            <w:tcBorders>
              <w:top w:val="single" w:sz="4" w:space="0" w:color="auto"/>
              <w:left w:val="single" w:sz="4" w:space="0" w:color="auto"/>
              <w:right w:val="single" w:sz="4" w:space="0" w:color="auto"/>
            </w:tcBorders>
            <w:shd w:val="clear" w:color="auto" w:fill="auto"/>
          </w:tcPr>
          <w:p w14:paraId="058B54B6" w14:textId="77777777" w:rsidR="00AE5668" w:rsidRDefault="00AE5668" w:rsidP="00AE5668">
            <w:pPr>
              <w:pStyle w:val="Other0"/>
              <w:ind w:left="142" w:right="293"/>
              <w:jc w:val="both"/>
              <w:rPr>
                <w:rStyle w:val="Other"/>
                <w:b/>
                <w:bCs/>
              </w:rPr>
            </w:pPr>
            <w:r>
              <w:rPr>
                <w:rStyle w:val="Other"/>
                <w:b/>
                <w:bCs/>
              </w:rPr>
              <w:t>2024-10-03</w:t>
            </w:r>
          </w:p>
          <w:p w14:paraId="623743C3" w14:textId="77777777" w:rsidR="00AE5668" w:rsidRPr="00494C1B" w:rsidRDefault="00AE5668" w:rsidP="00AE5668">
            <w:pPr>
              <w:pStyle w:val="Other0"/>
              <w:ind w:left="142" w:right="293"/>
              <w:rPr>
                <w:rStyle w:val="Other"/>
                <w:b/>
                <w:bCs/>
                <w:color w:val="00B050"/>
              </w:rPr>
            </w:pPr>
            <w:r w:rsidRPr="00494C1B">
              <w:rPr>
                <w:rStyle w:val="Other"/>
                <w:b/>
                <w:bCs/>
                <w:color w:val="00B050"/>
              </w:rPr>
              <w:t>Įgyvendinta</w:t>
            </w:r>
          </w:p>
          <w:p w14:paraId="7842248E" w14:textId="0AD4B8A7" w:rsidR="00AE5668" w:rsidRDefault="00AB7E20" w:rsidP="00AB7E20">
            <w:pPr>
              <w:ind w:left="142" w:right="293"/>
              <w:jc w:val="both"/>
              <w:rPr>
                <w:rFonts w:ascii="Times New Roman" w:hAnsi="Times New Roman" w:cs="Times New Roman"/>
              </w:rPr>
            </w:pPr>
            <w:r>
              <w:rPr>
                <w:rFonts w:ascii="Times New Roman" w:hAnsi="Times New Roman" w:cs="Times New Roman"/>
              </w:rPr>
              <w:t>Nuo 202</w:t>
            </w:r>
            <w:r w:rsidR="00DD5292">
              <w:rPr>
                <w:rFonts w:ascii="Times New Roman" w:hAnsi="Times New Roman" w:cs="Times New Roman"/>
              </w:rPr>
              <w:t>2</w:t>
            </w:r>
            <w:r>
              <w:rPr>
                <w:rFonts w:ascii="Times New Roman" w:hAnsi="Times New Roman" w:cs="Times New Roman"/>
              </w:rPr>
              <w:t xml:space="preserve">-01-01 pasikeitus </w:t>
            </w:r>
            <w:r w:rsidR="00DD5292">
              <w:rPr>
                <w:rFonts w:ascii="Times New Roman" w:hAnsi="Times New Roman" w:cs="Times New Roman"/>
              </w:rPr>
              <w:t xml:space="preserve">Korupcijos prevencijos įstatymo </w:t>
            </w:r>
            <w:r>
              <w:rPr>
                <w:rFonts w:ascii="Times New Roman" w:hAnsi="Times New Roman" w:cs="Times New Roman"/>
              </w:rPr>
              <w:t>teisiniam reguliavimui</w:t>
            </w:r>
            <w:r w:rsidR="00DD5292">
              <w:rPr>
                <w:rFonts w:ascii="Times New Roman" w:hAnsi="Times New Roman" w:cs="Times New Roman"/>
              </w:rPr>
              <w:t>,</w:t>
            </w:r>
            <w:r>
              <w:rPr>
                <w:rFonts w:ascii="Times New Roman" w:hAnsi="Times New Roman" w:cs="Times New Roman"/>
              </w:rPr>
              <w:t xml:space="preserve"> korupcijos pasireiškimo tikimybės nustatymas ministerijoje ir pavaldžiose įstaigose nebėra privalomas, tačiau </w:t>
            </w:r>
            <w:r w:rsidR="00897D43">
              <w:rPr>
                <w:rFonts w:ascii="Times New Roman" w:hAnsi="Times New Roman" w:cs="Times New Roman"/>
              </w:rPr>
              <w:t>ŠMSM</w:t>
            </w:r>
            <w:r>
              <w:rPr>
                <w:rFonts w:ascii="Times New Roman" w:hAnsi="Times New Roman" w:cs="Times New Roman"/>
              </w:rPr>
              <w:t xml:space="preserve"> savarankiškai </w:t>
            </w:r>
            <w:r w:rsidR="00897D43">
              <w:rPr>
                <w:rFonts w:ascii="Times New Roman" w:hAnsi="Times New Roman" w:cs="Times New Roman"/>
              </w:rPr>
              <w:t xml:space="preserve">periodiškai </w:t>
            </w:r>
            <w:r>
              <w:rPr>
                <w:rFonts w:ascii="Times New Roman" w:hAnsi="Times New Roman" w:cs="Times New Roman"/>
              </w:rPr>
              <w:t xml:space="preserve">atlieka korupcijos pasireiškimo tikimybės vertinimą </w:t>
            </w:r>
            <w:r w:rsidR="00705054">
              <w:rPr>
                <w:rFonts w:ascii="Times New Roman" w:hAnsi="Times New Roman" w:cs="Times New Roman"/>
              </w:rPr>
              <w:t>ir rengia išvadas, bei koordinuoja kitų joms pavaldžių įstaigų korupcijos pasireiškimo tikimybės nustatymą</w:t>
            </w:r>
            <w:r>
              <w:rPr>
                <w:rFonts w:ascii="Times New Roman" w:hAnsi="Times New Roman" w:cs="Times New Roman"/>
              </w:rPr>
              <w:t>.</w:t>
            </w:r>
            <w:r w:rsidR="00897D43">
              <w:rPr>
                <w:rFonts w:ascii="Times New Roman" w:hAnsi="Times New Roman" w:cs="Times New Roman"/>
              </w:rPr>
              <w:t xml:space="preserve"> </w:t>
            </w:r>
            <w:r w:rsidR="00897D43" w:rsidRPr="00897D43">
              <w:rPr>
                <w:rFonts w:ascii="Times New Roman" w:hAnsi="Times New Roman" w:cs="Times New Roman"/>
              </w:rPr>
              <w:t>Lietuvos Respublikos švietimo, mokslo ir sporto ministro 2021 m. rugpjūčio 23 d. įsakymu Nr. V- 1518 „Dėl švietimo, mokslo ir sporto ministro 2021 m. rugpjūčio 23 d. įsakymo Nr. V-1518 „Dėl Lietuvos Respublikos švietimo, mokslo ir sporto ministerijos ir jos valdymo sričiai priskirtų įstaigų korupcijos prevencijos politikos patvirtinimo“ pakeitimo“ patvirtinta Lietuvos Respublikos švietimo, mokslo ir sporto ministerijos ir jos valdymo sričiai priskirtų įstaigų korupcijos prevencijos politika</w:t>
            </w:r>
            <w:r>
              <w:rPr>
                <w:rFonts w:ascii="Times New Roman" w:hAnsi="Times New Roman" w:cs="Times New Roman"/>
              </w:rPr>
              <w:t xml:space="preserve"> </w:t>
            </w:r>
            <w:r w:rsidRPr="00AB7E20">
              <w:rPr>
                <w:rFonts w:ascii="Times New Roman" w:hAnsi="Times New Roman" w:cs="Times New Roman"/>
              </w:rPr>
              <w:t>Pastabų ir pasiūlymų nėra</w:t>
            </w:r>
          </w:p>
          <w:p w14:paraId="1D220CC7" w14:textId="613BDC23" w:rsidR="00AB7E20" w:rsidRPr="00AB7E20" w:rsidRDefault="00AB7E20" w:rsidP="00AE5668">
            <w:pPr>
              <w:ind w:left="142" w:right="293"/>
              <w:rPr>
                <w:rFonts w:ascii="Times New Roman" w:hAnsi="Times New Roman" w:cs="Times New Roman"/>
              </w:rPr>
            </w:pPr>
            <w:r>
              <w:rPr>
                <w:rFonts w:ascii="Times New Roman" w:hAnsi="Times New Roman" w:cs="Times New Roman"/>
              </w:rPr>
              <w:t>Stebėsena baigta</w:t>
            </w:r>
          </w:p>
        </w:tc>
      </w:tr>
      <w:tr w:rsidR="00AE5668" w14:paraId="20160067" w14:textId="77777777" w:rsidTr="00BB712B">
        <w:trPr>
          <w:trHeight w:hRule="exact" w:val="1839"/>
          <w:jc w:val="center"/>
        </w:trPr>
        <w:tc>
          <w:tcPr>
            <w:tcW w:w="846" w:type="dxa"/>
            <w:tcBorders>
              <w:top w:val="single" w:sz="4" w:space="0" w:color="auto"/>
              <w:left w:val="single" w:sz="4" w:space="0" w:color="auto"/>
              <w:bottom w:val="single" w:sz="4" w:space="0" w:color="auto"/>
            </w:tcBorders>
            <w:shd w:val="clear" w:color="auto" w:fill="auto"/>
          </w:tcPr>
          <w:p w14:paraId="0275E714" w14:textId="3EEAF6EA" w:rsidR="00AE5668" w:rsidRDefault="00AE5668" w:rsidP="00AE5668">
            <w:pPr>
              <w:pStyle w:val="Other0"/>
              <w:spacing w:before="100"/>
              <w:ind w:left="142" w:right="293"/>
              <w:rPr>
                <w:rStyle w:val="Other"/>
              </w:rPr>
            </w:pPr>
            <w:r>
              <w:rPr>
                <w:rStyle w:val="Other"/>
              </w:rPr>
              <w:t>4.2.</w:t>
            </w:r>
          </w:p>
        </w:tc>
        <w:tc>
          <w:tcPr>
            <w:tcW w:w="4394" w:type="dxa"/>
            <w:tcBorders>
              <w:top w:val="single" w:sz="4" w:space="0" w:color="auto"/>
              <w:left w:val="single" w:sz="4" w:space="0" w:color="auto"/>
              <w:bottom w:val="single" w:sz="4" w:space="0" w:color="auto"/>
            </w:tcBorders>
            <w:shd w:val="clear" w:color="auto" w:fill="auto"/>
          </w:tcPr>
          <w:p w14:paraId="002EA8FC" w14:textId="570F4B2B" w:rsidR="00AE5668" w:rsidRDefault="00AE5668" w:rsidP="00AE5668">
            <w:pPr>
              <w:pStyle w:val="Other0"/>
              <w:ind w:left="142" w:right="293"/>
              <w:jc w:val="both"/>
              <w:rPr>
                <w:rStyle w:val="Other"/>
              </w:rPr>
            </w:pPr>
            <w:r>
              <w:rPr>
                <w:rStyle w:val="Other"/>
              </w:rPr>
              <w:t>Nustatant veiklos sritis, kuriose egzistuoja didelė korupcijos pasireiškimo tikimybė, atkreipti dėmesį į NKKP III skirsnio 14.8.3 punkte minimus korupcijos rizikos veiksnius švietimo ir mokslo sistemoje.</w:t>
            </w:r>
          </w:p>
        </w:tc>
        <w:tc>
          <w:tcPr>
            <w:tcW w:w="5245" w:type="dxa"/>
            <w:vMerge/>
            <w:tcBorders>
              <w:left w:val="single" w:sz="4" w:space="0" w:color="auto"/>
            </w:tcBorders>
            <w:shd w:val="clear" w:color="auto" w:fill="auto"/>
          </w:tcPr>
          <w:p w14:paraId="1915804D" w14:textId="77777777" w:rsidR="00AE5668" w:rsidRDefault="00AE5668" w:rsidP="00AE5668">
            <w:pPr>
              <w:ind w:left="142" w:right="293"/>
            </w:pPr>
          </w:p>
        </w:tc>
        <w:tc>
          <w:tcPr>
            <w:tcW w:w="4126" w:type="dxa"/>
            <w:vMerge/>
            <w:tcBorders>
              <w:left w:val="single" w:sz="4" w:space="0" w:color="auto"/>
              <w:right w:val="single" w:sz="4" w:space="0" w:color="auto"/>
            </w:tcBorders>
            <w:shd w:val="clear" w:color="auto" w:fill="auto"/>
          </w:tcPr>
          <w:p w14:paraId="68E7CFA6" w14:textId="77777777" w:rsidR="00AE5668" w:rsidRDefault="00AE5668" w:rsidP="00AE5668">
            <w:pPr>
              <w:ind w:left="142" w:right="293"/>
            </w:pPr>
          </w:p>
        </w:tc>
      </w:tr>
      <w:tr w:rsidR="00AE5668" w14:paraId="18331805" w14:textId="77777777" w:rsidTr="00BB712B">
        <w:trPr>
          <w:trHeight w:hRule="exact" w:val="1851"/>
          <w:jc w:val="center"/>
        </w:trPr>
        <w:tc>
          <w:tcPr>
            <w:tcW w:w="846" w:type="dxa"/>
            <w:tcBorders>
              <w:top w:val="single" w:sz="4" w:space="0" w:color="auto"/>
              <w:left w:val="single" w:sz="4" w:space="0" w:color="auto"/>
              <w:bottom w:val="single" w:sz="4" w:space="0" w:color="auto"/>
            </w:tcBorders>
            <w:shd w:val="clear" w:color="auto" w:fill="auto"/>
          </w:tcPr>
          <w:p w14:paraId="6E9ED736" w14:textId="00C39A80" w:rsidR="00AE5668" w:rsidRDefault="00AE5668" w:rsidP="00AE5668">
            <w:pPr>
              <w:pStyle w:val="Other0"/>
              <w:spacing w:before="100"/>
              <w:ind w:left="142" w:right="293"/>
              <w:rPr>
                <w:rStyle w:val="Other"/>
              </w:rPr>
            </w:pPr>
            <w:r>
              <w:rPr>
                <w:rStyle w:val="Other"/>
              </w:rPr>
              <w:t>4.3.</w:t>
            </w:r>
          </w:p>
        </w:tc>
        <w:tc>
          <w:tcPr>
            <w:tcW w:w="4394" w:type="dxa"/>
            <w:tcBorders>
              <w:top w:val="single" w:sz="4" w:space="0" w:color="auto"/>
              <w:left w:val="single" w:sz="4" w:space="0" w:color="auto"/>
              <w:bottom w:val="single" w:sz="4" w:space="0" w:color="auto"/>
            </w:tcBorders>
            <w:shd w:val="clear" w:color="auto" w:fill="auto"/>
          </w:tcPr>
          <w:p w14:paraId="5EB328A1" w14:textId="6B0AC6DC" w:rsidR="00AE5668" w:rsidRDefault="00AE5668" w:rsidP="00AE5668">
            <w:pPr>
              <w:pStyle w:val="Other0"/>
              <w:ind w:left="142" w:right="293"/>
              <w:jc w:val="both"/>
              <w:rPr>
                <w:rStyle w:val="Other"/>
              </w:rPr>
            </w:pPr>
            <w:r>
              <w:rPr>
                <w:rStyle w:val="Other"/>
              </w:rPr>
              <w:t>Užtikrinti, kad pavaldžios institucijos kiekvienų metų III ketvirtį nustatytų ir įvertintų savo veiklos sritis, kuriose egzistuoja didelė korupcijos pasireiškimo tikimybė ir informaciją apie tai pateiktų Švietimo ir mokslo ministerijai.</w:t>
            </w:r>
          </w:p>
        </w:tc>
        <w:tc>
          <w:tcPr>
            <w:tcW w:w="5245" w:type="dxa"/>
            <w:vMerge/>
            <w:tcBorders>
              <w:left w:val="single" w:sz="4" w:space="0" w:color="auto"/>
            </w:tcBorders>
            <w:shd w:val="clear" w:color="auto" w:fill="auto"/>
          </w:tcPr>
          <w:p w14:paraId="1A2A85A0" w14:textId="77777777" w:rsidR="00AE5668" w:rsidRDefault="00AE5668" w:rsidP="00AE5668">
            <w:pPr>
              <w:ind w:left="142" w:right="293"/>
            </w:pPr>
          </w:p>
        </w:tc>
        <w:tc>
          <w:tcPr>
            <w:tcW w:w="4126" w:type="dxa"/>
            <w:vMerge/>
            <w:tcBorders>
              <w:left w:val="single" w:sz="4" w:space="0" w:color="auto"/>
              <w:right w:val="single" w:sz="4" w:space="0" w:color="auto"/>
            </w:tcBorders>
            <w:shd w:val="clear" w:color="auto" w:fill="auto"/>
          </w:tcPr>
          <w:p w14:paraId="6C551C7F" w14:textId="77777777" w:rsidR="00AE5668" w:rsidRDefault="00AE5668" w:rsidP="00AE5668">
            <w:pPr>
              <w:ind w:left="142" w:right="293"/>
            </w:pPr>
          </w:p>
        </w:tc>
      </w:tr>
      <w:tr w:rsidR="00AE5668" w14:paraId="6C00853F" w14:textId="77777777" w:rsidTr="00BB712B">
        <w:trPr>
          <w:trHeight w:hRule="exact" w:val="1684"/>
          <w:jc w:val="center"/>
        </w:trPr>
        <w:tc>
          <w:tcPr>
            <w:tcW w:w="846" w:type="dxa"/>
            <w:tcBorders>
              <w:top w:val="single" w:sz="4" w:space="0" w:color="auto"/>
              <w:left w:val="single" w:sz="4" w:space="0" w:color="auto"/>
              <w:bottom w:val="single" w:sz="4" w:space="0" w:color="auto"/>
            </w:tcBorders>
            <w:shd w:val="clear" w:color="auto" w:fill="auto"/>
          </w:tcPr>
          <w:p w14:paraId="28F75A49" w14:textId="177BE621" w:rsidR="00AE5668" w:rsidRDefault="00AE5668" w:rsidP="00AE5668">
            <w:pPr>
              <w:pStyle w:val="Other0"/>
              <w:spacing w:before="100"/>
              <w:ind w:left="142" w:right="293"/>
              <w:rPr>
                <w:rStyle w:val="Other"/>
              </w:rPr>
            </w:pPr>
            <w:r>
              <w:rPr>
                <w:rStyle w:val="Other"/>
              </w:rPr>
              <w:t>4.4.</w:t>
            </w:r>
          </w:p>
        </w:tc>
        <w:tc>
          <w:tcPr>
            <w:tcW w:w="4394" w:type="dxa"/>
            <w:tcBorders>
              <w:top w:val="single" w:sz="4" w:space="0" w:color="auto"/>
              <w:left w:val="single" w:sz="4" w:space="0" w:color="auto"/>
              <w:bottom w:val="single" w:sz="4" w:space="0" w:color="auto"/>
            </w:tcBorders>
            <w:shd w:val="clear" w:color="auto" w:fill="auto"/>
          </w:tcPr>
          <w:p w14:paraId="344F5D44" w14:textId="073836EA" w:rsidR="00AE5668" w:rsidRDefault="00AE5668" w:rsidP="00AE5668">
            <w:pPr>
              <w:pStyle w:val="Other0"/>
              <w:ind w:left="142" w:right="293"/>
              <w:jc w:val="both"/>
              <w:rPr>
                <w:rStyle w:val="Other"/>
              </w:rPr>
            </w:pPr>
            <w:r>
              <w:rPr>
                <w:rStyle w:val="Other"/>
              </w:rPr>
              <w:t>Motyvuotą išvadą dėl korupcijos pasireiškimo tikimybės nustatymo per mėnesį nuo pasirašymo dienos pateikti Specialiųjų tyrimų tarnybai ir paskelbti ministerijos interneto svetainėje.</w:t>
            </w:r>
          </w:p>
        </w:tc>
        <w:tc>
          <w:tcPr>
            <w:tcW w:w="5245" w:type="dxa"/>
            <w:vMerge/>
            <w:tcBorders>
              <w:left w:val="single" w:sz="4" w:space="0" w:color="auto"/>
              <w:bottom w:val="single" w:sz="4" w:space="0" w:color="auto"/>
            </w:tcBorders>
            <w:shd w:val="clear" w:color="auto" w:fill="auto"/>
          </w:tcPr>
          <w:p w14:paraId="63B9BCC3" w14:textId="77777777" w:rsidR="00AE5668" w:rsidRDefault="00AE5668" w:rsidP="00AE5668">
            <w:pPr>
              <w:ind w:left="142" w:right="293"/>
            </w:pPr>
          </w:p>
        </w:tc>
        <w:tc>
          <w:tcPr>
            <w:tcW w:w="4126" w:type="dxa"/>
            <w:vMerge/>
            <w:tcBorders>
              <w:left w:val="single" w:sz="4" w:space="0" w:color="auto"/>
              <w:bottom w:val="single" w:sz="4" w:space="0" w:color="auto"/>
              <w:right w:val="single" w:sz="4" w:space="0" w:color="auto"/>
            </w:tcBorders>
            <w:shd w:val="clear" w:color="auto" w:fill="auto"/>
          </w:tcPr>
          <w:p w14:paraId="678B747B" w14:textId="77777777" w:rsidR="00AE5668" w:rsidRDefault="00AE5668" w:rsidP="00AE5668">
            <w:pPr>
              <w:ind w:left="142" w:right="293"/>
            </w:pPr>
          </w:p>
        </w:tc>
      </w:tr>
    </w:tbl>
    <w:p w14:paraId="7CFEA3B1" w14:textId="77777777" w:rsidR="007C1C01" w:rsidRDefault="003E0CC5" w:rsidP="005F5640">
      <w:pPr>
        <w:spacing w:line="1" w:lineRule="exact"/>
        <w:ind w:left="142" w:right="293"/>
        <w:rPr>
          <w:sz w:val="2"/>
          <w:szCs w:val="2"/>
        </w:rPr>
      </w:pPr>
      <w:r>
        <w:br w:type="page"/>
      </w:r>
    </w:p>
    <w:tbl>
      <w:tblPr>
        <w:tblOverlap w:val="never"/>
        <w:tblW w:w="15163" w:type="dxa"/>
        <w:jc w:val="center"/>
        <w:tblLayout w:type="fixed"/>
        <w:tblCellMar>
          <w:left w:w="10" w:type="dxa"/>
          <w:right w:w="10" w:type="dxa"/>
        </w:tblCellMar>
        <w:tblLook w:val="0000" w:firstRow="0" w:lastRow="0" w:firstColumn="0" w:lastColumn="0" w:noHBand="0" w:noVBand="0"/>
      </w:tblPr>
      <w:tblGrid>
        <w:gridCol w:w="846"/>
        <w:gridCol w:w="4266"/>
        <w:gridCol w:w="5656"/>
        <w:gridCol w:w="4395"/>
      </w:tblGrid>
      <w:tr w:rsidR="00705054" w14:paraId="6717FFF6" w14:textId="77777777" w:rsidTr="00AE2B1D">
        <w:trPr>
          <w:trHeight w:hRule="exact" w:val="4536"/>
          <w:jc w:val="center"/>
        </w:trPr>
        <w:tc>
          <w:tcPr>
            <w:tcW w:w="846" w:type="dxa"/>
            <w:vMerge w:val="restart"/>
            <w:tcBorders>
              <w:top w:val="single" w:sz="4" w:space="0" w:color="auto"/>
              <w:left w:val="single" w:sz="4" w:space="0" w:color="auto"/>
            </w:tcBorders>
            <w:shd w:val="clear" w:color="auto" w:fill="auto"/>
          </w:tcPr>
          <w:p w14:paraId="4FDAB662" w14:textId="77777777" w:rsidR="00705054" w:rsidRDefault="00705054" w:rsidP="005F5640">
            <w:pPr>
              <w:pStyle w:val="Other0"/>
              <w:spacing w:before="100"/>
              <w:ind w:left="142" w:right="293"/>
            </w:pPr>
            <w:r>
              <w:rPr>
                <w:rStyle w:val="Other"/>
              </w:rPr>
              <w:lastRenderedPageBreak/>
              <w:t>4.5.</w:t>
            </w:r>
          </w:p>
        </w:tc>
        <w:tc>
          <w:tcPr>
            <w:tcW w:w="4266" w:type="dxa"/>
            <w:vMerge w:val="restart"/>
            <w:tcBorders>
              <w:top w:val="single" w:sz="4" w:space="0" w:color="auto"/>
              <w:left w:val="single" w:sz="4" w:space="0" w:color="auto"/>
            </w:tcBorders>
            <w:shd w:val="clear" w:color="auto" w:fill="auto"/>
          </w:tcPr>
          <w:p w14:paraId="1493BBD3" w14:textId="77777777" w:rsidR="00705054" w:rsidRDefault="00705054" w:rsidP="005F5640">
            <w:pPr>
              <w:pStyle w:val="Other0"/>
              <w:ind w:left="142" w:right="293"/>
              <w:jc w:val="both"/>
            </w:pPr>
            <w:r>
              <w:rPr>
                <w:rStyle w:val="Other"/>
              </w:rPr>
              <w:t>Atlikus korupcijos pasireiškimo tikimybės nustatymą, esamos situacijos analizę, korupcijos rizikos valdymo vertinimą Švietimo ir mokslo ministerijos ir pavaldžių institucijų veikloje, taip pat šioje korupcijos rizikos analizėje nustatytus korupcijos rizikos veiksnius, parengti Švietimo ir mokslo ministerijos ir jai pavaldžių kovos su korupcija programą ir jos įgyvendinimo priemonių planą. Kovos su korupcija programos projektą ir patvirtintą programą skelbti Seimo teisės aktų informacinėje sistemoje.</w:t>
            </w:r>
          </w:p>
        </w:tc>
        <w:tc>
          <w:tcPr>
            <w:tcW w:w="5656" w:type="dxa"/>
            <w:tcBorders>
              <w:top w:val="single" w:sz="4" w:space="0" w:color="auto"/>
              <w:left w:val="single" w:sz="4" w:space="0" w:color="auto"/>
              <w:bottom w:val="single" w:sz="4" w:space="0" w:color="auto"/>
            </w:tcBorders>
            <w:shd w:val="clear" w:color="auto" w:fill="auto"/>
          </w:tcPr>
          <w:p w14:paraId="0299488D" w14:textId="77777777" w:rsidR="00705054" w:rsidRDefault="00705054" w:rsidP="005F5640">
            <w:pPr>
              <w:pStyle w:val="Other0"/>
              <w:ind w:left="142" w:right="293"/>
              <w:jc w:val="both"/>
            </w:pPr>
            <w:r>
              <w:rPr>
                <w:rStyle w:val="Other"/>
              </w:rPr>
              <w:t>Švietimo ir mokslo ministerija informavo, kad yra parengusi Lietuvos Respublikos švietimo ir mokslo ministerijos korupcijos prevencijos 2018–2020 metų veiksmų plano projektą, kuris yra paskelbtas ministerijos interneto svetainėje. Lietuvos Respublikos švietimo ir mokslo ministerijos korupcijos prevencijos 2018–2020 metų veiksmų planas bus patvirtintas artimiausiu metu, baigus derinimo procedūras.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BBF23B" w14:textId="77777777" w:rsidR="007B0B33" w:rsidRDefault="007B0B33" w:rsidP="005F5640">
            <w:pPr>
              <w:pStyle w:val="Other0"/>
              <w:ind w:left="142" w:right="293"/>
              <w:rPr>
                <w:rStyle w:val="Other"/>
                <w:b/>
                <w:bCs/>
                <w:color w:val="00B0F0"/>
              </w:rPr>
            </w:pPr>
            <w:r w:rsidRPr="00BB712B">
              <w:rPr>
                <w:rStyle w:val="Other"/>
                <w:b/>
                <w:bCs/>
                <w:color w:val="92D050"/>
              </w:rPr>
              <w:t>Įgyvendinta iš dalies</w:t>
            </w:r>
            <w:r w:rsidR="00705054" w:rsidRPr="00BB712B">
              <w:rPr>
                <w:rStyle w:val="Other"/>
                <w:b/>
                <w:bCs/>
                <w:color w:val="92D050"/>
              </w:rPr>
              <w:t xml:space="preserve"> </w:t>
            </w:r>
          </w:p>
          <w:p w14:paraId="6D88AFDC" w14:textId="77777777" w:rsidR="00705054" w:rsidRDefault="00705054" w:rsidP="005F5640">
            <w:pPr>
              <w:pStyle w:val="Other0"/>
              <w:ind w:left="142" w:right="293"/>
              <w:rPr>
                <w:rStyle w:val="Other"/>
              </w:rPr>
            </w:pPr>
            <w:r>
              <w:rPr>
                <w:rStyle w:val="Other"/>
              </w:rPr>
              <w:t>kadangi nebuvo parengta korupcijos prevencijos programa, o tik veiksmų planas (šio plano vertinimą pateikiame atskirai).</w:t>
            </w:r>
          </w:p>
          <w:p w14:paraId="4D80F3DB" w14:textId="6B1DED28" w:rsidR="00E92820" w:rsidRDefault="00E92820" w:rsidP="005F5640">
            <w:pPr>
              <w:pStyle w:val="Other0"/>
              <w:ind w:left="142" w:right="293"/>
            </w:pPr>
          </w:p>
        </w:tc>
      </w:tr>
      <w:tr w:rsidR="00705054" w14:paraId="43E7A6A7" w14:textId="77777777" w:rsidTr="00AE2B1D">
        <w:trPr>
          <w:trHeight w:hRule="exact" w:val="4404"/>
          <w:jc w:val="center"/>
        </w:trPr>
        <w:tc>
          <w:tcPr>
            <w:tcW w:w="846" w:type="dxa"/>
            <w:vMerge/>
            <w:tcBorders>
              <w:left w:val="single" w:sz="4" w:space="0" w:color="auto"/>
              <w:bottom w:val="single" w:sz="4" w:space="0" w:color="auto"/>
            </w:tcBorders>
            <w:shd w:val="clear" w:color="auto" w:fill="auto"/>
          </w:tcPr>
          <w:p w14:paraId="2B411743" w14:textId="77777777" w:rsidR="00705054" w:rsidRDefault="00705054" w:rsidP="00705054">
            <w:pPr>
              <w:pStyle w:val="Other0"/>
              <w:spacing w:before="100"/>
              <w:ind w:left="142" w:right="293"/>
              <w:rPr>
                <w:rStyle w:val="Other"/>
              </w:rPr>
            </w:pPr>
          </w:p>
        </w:tc>
        <w:tc>
          <w:tcPr>
            <w:tcW w:w="4266" w:type="dxa"/>
            <w:vMerge/>
            <w:tcBorders>
              <w:left w:val="single" w:sz="4" w:space="0" w:color="auto"/>
              <w:bottom w:val="single" w:sz="4" w:space="0" w:color="auto"/>
            </w:tcBorders>
            <w:shd w:val="clear" w:color="auto" w:fill="auto"/>
            <w:vAlign w:val="center"/>
          </w:tcPr>
          <w:p w14:paraId="7B26330A" w14:textId="77777777" w:rsidR="00705054" w:rsidRDefault="00705054" w:rsidP="00705054">
            <w:pPr>
              <w:pStyle w:val="Other0"/>
              <w:ind w:left="142" w:right="293"/>
              <w:jc w:val="both"/>
              <w:rPr>
                <w:rStyle w:val="Other"/>
              </w:rPr>
            </w:pPr>
          </w:p>
        </w:tc>
        <w:tc>
          <w:tcPr>
            <w:tcW w:w="5656" w:type="dxa"/>
            <w:tcBorders>
              <w:top w:val="single" w:sz="4" w:space="0" w:color="auto"/>
              <w:left w:val="single" w:sz="4" w:space="0" w:color="auto"/>
              <w:bottom w:val="single" w:sz="4" w:space="0" w:color="auto"/>
            </w:tcBorders>
            <w:shd w:val="clear" w:color="auto" w:fill="auto"/>
          </w:tcPr>
          <w:p w14:paraId="2FD54F4B" w14:textId="77777777" w:rsidR="00705054" w:rsidRPr="00630F51" w:rsidRDefault="00705054" w:rsidP="00705054">
            <w:pPr>
              <w:pStyle w:val="Other0"/>
              <w:ind w:left="120" w:right="293"/>
              <w:jc w:val="both"/>
              <w:rPr>
                <w:rStyle w:val="Other"/>
                <w:b/>
                <w:bCs/>
              </w:rPr>
            </w:pPr>
            <w:r w:rsidRPr="00630F51">
              <w:rPr>
                <w:rStyle w:val="Other"/>
                <w:b/>
                <w:bCs/>
              </w:rPr>
              <w:t>2024-09-23</w:t>
            </w:r>
          </w:p>
          <w:p w14:paraId="0380EE56" w14:textId="2FA3F1D8" w:rsidR="00705054" w:rsidRDefault="00705054" w:rsidP="00705054">
            <w:pPr>
              <w:pStyle w:val="Other0"/>
              <w:ind w:left="142" w:right="293"/>
              <w:jc w:val="both"/>
              <w:rPr>
                <w:rStyle w:val="Other"/>
              </w:rPr>
            </w:pPr>
            <w:r>
              <w:t xml:space="preserve">ŠMSM </w:t>
            </w:r>
            <w:r w:rsidR="00E92820">
              <w:t xml:space="preserve">patvirtino </w:t>
            </w:r>
            <w:r w:rsidR="00E92820">
              <w:rPr>
                <w:rStyle w:val="Other"/>
              </w:rPr>
              <w:t>2018–2020 metų</w:t>
            </w:r>
            <w:r w:rsidR="00E92820">
              <w:t xml:space="preserve"> </w:t>
            </w:r>
            <w:r w:rsidR="00E92820">
              <w:rPr>
                <w:rStyle w:val="Other"/>
              </w:rPr>
              <w:t xml:space="preserve">korupcijos prevencijos </w:t>
            </w:r>
            <w:r w:rsidR="00E92820">
              <w:t xml:space="preserve">programą taip pat ir 2020–2023 metų korupcijos prevencijos programą ir jas jau įgyvendino. </w:t>
            </w:r>
            <w:r w:rsidR="00393FF2">
              <w:t>K</w:t>
            </w:r>
            <w:r w:rsidR="00E92820">
              <w:rPr>
                <w:rStyle w:val="Other"/>
              </w:rPr>
              <w:t>orupcijos pasireiškimo tikimybės nustatym</w:t>
            </w:r>
            <w:r w:rsidR="00393FF2">
              <w:rPr>
                <w:rStyle w:val="Other"/>
              </w:rPr>
              <w:t>o priemonės įtrauktos į programinius dokumentus</w:t>
            </w:r>
            <w:r w:rsidR="00E92820">
              <w:rPr>
                <w:rStyle w:val="Other"/>
              </w:rPr>
              <w:t>,</w:t>
            </w:r>
            <w:r w:rsidR="00274524">
              <w:rPr>
                <w:rStyle w:val="Other"/>
              </w:rPr>
              <w:t xml:space="preserve"> </w:t>
            </w:r>
            <w:r w:rsidR="00393FF2">
              <w:rPr>
                <w:rStyle w:val="Other"/>
              </w:rPr>
              <w:t xml:space="preserve">ŠMSM </w:t>
            </w:r>
            <w:r w:rsidR="00274524">
              <w:rPr>
                <w:rStyle w:val="Other"/>
              </w:rPr>
              <w:t>atlieka</w:t>
            </w:r>
            <w:r w:rsidR="00E92820">
              <w:rPr>
                <w:rStyle w:val="Other"/>
              </w:rPr>
              <w:t xml:space="preserve"> esamos situacijos analizę, korupcijos rizikos valdymo vertinimą.</w:t>
            </w:r>
            <w:r w:rsidR="00E92820">
              <w:t xml:space="preserve"> </w:t>
            </w:r>
            <w:r w:rsidR="00274524">
              <w:rPr>
                <w:rStyle w:val="Other"/>
              </w:rPr>
              <w:t>Parengė ir</w:t>
            </w:r>
            <w:r w:rsidR="00E92820">
              <w:rPr>
                <w:rStyle w:val="Other"/>
              </w:rPr>
              <w:t xml:space="preserve"> </w:t>
            </w:r>
            <w:r>
              <w:t xml:space="preserve">pateikė STT derinti </w:t>
            </w:r>
            <w:r w:rsidRPr="7B29AE7F">
              <w:t>Lietuvos Respublikos švietimo, mokslo ir sporto ministerijos korupcijos prevencijos 2024–2028</w:t>
            </w:r>
            <w:r w:rsidRPr="7B29AE7F">
              <w:rPr>
                <w:b/>
                <w:bCs/>
                <w:color w:val="FF0000"/>
              </w:rPr>
              <w:t xml:space="preserve"> </w:t>
            </w:r>
            <w:r w:rsidRPr="7B29AE7F">
              <w:t>metų veiksmų plan</w:t>
            </w:r>
            <w:r>
              <w:t>o projektą</w:t>
            </w:r>
            <w:r w:rsidR="00E92820">
              <w:t>, kuriame šie veiksmai numatyti.</w:t>
            </w:r>
            <w:r w:rsidR="00897D43">
              <w:t xml:space="preserve"> </w:t>
            </w:r>
            <w:r w:rsidR="00E92820">
              <w:t xml:space="preserve"> </w:t>
            </w:r>
            <w:r w:rsidR="00393FF2">
              <w:t>ŠMSM i</w:t>
            </w:r>
            <w:r w:rsidR="00897D43">
              <w:t>nterneto svetainėje paskelbt</w:t>
            </w:r>
            <w:r w:rsidR="00E92820">
              <w:t>a ankstesnio laikotarpio programos įgyvendinimo ataskaita</w:t>
            </w:r>
            <w:r w:rsidR="00274524">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FF48C13" w14:textId="77777777" w:rsidR="00705054" w:rsidRDefault="00705054" w:rsidP="00705054">
            <w:pPr>
              <w:pStyle w:val="Other0"/>
              <w:ind w:left="142" w:right="293"/>
              <w:jc w:val="both"/>
              <w:rPr>
                <w:rStyle w:val="Other"/>
                <w:b/>
                <w:bCs/>
              </w:rPr>
            </w:pPr>
            <w:r>
              <w:rPr>
                <w:rStyle w:val="Other"/>
                <w:b/>
                <w:bCs/>
              </w:rPr>
              <w:t>2024-10-03</w:t>
            </w:r>
          </w:p>
          <w:p w14:paraId="63AEC0A4" w14:textId="62400A98" w:rsidR="00705054" w:rsidRPr="00E92820" w:rsidRDefault="00E92820" w:rsidP="00705054">
            <w:pPr>
              <w:pStyle w:val="Other0"/>
              <w:ind w:left="142" w:right="293"/>
              <w:rPr>
                <w:rStyle w:val="Other"/>
                <w:b/>
                <w:bCs/>
                <w:color w:val="00B050"/>
              </w:rPr>
            </w:pPr>
            <w:r w:rsidRPr="00E92820">
              <w:rPr>
                <w:rStyle w:val="Other"/>
                <w:b/>
                <w:bCs/>
                <w:color w:val="00B050"/>
              </w:rPr>
              <w:t>Įgyvendinta</w:t>
            </w:r>
          </w:p>
          <w:p w14:paraId="39228C7D" w14:textId="6B173B10" w:rsidR="00705054" w:rsidRDefault="00E92820" w:rsidP="00897D43">
            <w:pPr>
              <w:pStyle w:val="Other0"/>
              <w:ind w:left="142" w:right="293"/>
              <w:jc w:val="both"/>
            </w:pPr>
            <w:r>
              <w:t>Pastabų ir pasiūlymų nėra</w:t>
            </w:r>
            <w:r w:rsidR="00705054">
              <w:t xml:space="preserve"> </w:t>
            </w:r>
          </w:p>
          <w:p w14:paraId="07317EE7" w14:textId="77777777" w:rsidR="00705054" w:rsidRDefault="00705054" w:rsidP="00705054">
            <w:pPr>
              <w:pStyle w:val="Other0"/>
              <w:ind w:left="142" w:right="293"/>
            </w:pPr>
          </w:p>
          <w:p w14:paraId="04441BB5" w14:textId="0209482D" w:rsidR="00705054" w:rsidRDefault="00705054" w:rsidP="00705054">
            <w:pPr>
              <w:pStyle w:val="Other0"/>
              <w:ind w:left="142" w:right="293"/>
              <w:rPr>
                <w:rStyle w:val="Other"/>
                <w:b/>
                <w:bCs/>
                <w:color w:val="1F4E79"/>
              </w:rPr>
            </w:pPr>
            <w:r>
              <w:t>Stebėsena baigta</w:t>
            </w:r>
          </w:p>
        </w:tc>
      </w:tr>
    </w:tbl>
    <w:p w14:paraId="1EC36453" w14:textId="7B96F8CB" w:rsidR="003E0CC5" w:rsidRDefault="00EE2E31" w:rsidP="00EE2E31">
      <w:pPr>
        <w:ind w:left="142"/>
        <w:jc w:val="center"/>
      </w:pPr>
      <w:r>
        <w:t>________________________</w:t>
      </w:r>
    </w:p>
    <w:sectPr w:rsidR="003E0CC5">
      <w:headerReference w:type="default" r:id="rId7"/>
      <w:pgSz w:w="16840" w:h="11900" w:orient="landscape"/>
      <w:pgMar w:top="1385" w:right="1096" w:bottom="1132" w:left="1134" w:header="0" w:footer="7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785AF" w14:textId="77777777" w:rsidR="003A5657" w:rsidRDefault="003A5657">
      <w:r>
        <w:separator/>
      </w:r>
    </w:p>
  </w:endnote>
  <w:endnote w:type="continuationSeparator" w:id="0">
    <w:p w14:paraId="0DF56578" w14:textId="77777777" w:rsidR="003A5657" w:rsidRDefault="003A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F97E7" w14:textId="77777777" w:rsidR="003A5657" w:rsidRDefault="003A5657"/>
  </w:footnote>
  <w:footnote w:type="continuationSeparator" w:id="0">
    <w:p w14:paraId="546DAF20" w14:textId="77777777" w:rsidR="003A5657" w:rsidRDefault="003A5657"/>
  </w:footnote>
  <w:footnote w:id="1">
    <w:p w14:paraId="44FF95AC" w14:textId="77777777" w:rsidR="00494C1B" w:rsidRPr="00D26ACB" w:rsidRDefault="00494C1B" w:rsidP="00494C1B">
      <w:pPr>
        <w:pStyle w:val="Puslapioinaostekstas"/>
        <w:rPr>
          <w:rFonts w:ascii="Times New Roman" w:hAnsi="Times New Roman"/>
          <w:lang w:val="lt-LT"/>
        </w:rPr>
      </w:pPr>
      <w:r w:rsidRPr="00D26ACB">
        <w:rPr>
          <w:rStyle w:val="Puslapioinaosnuoroda"/>
          <w:rFonts w:ascii="Times New Roman" w:hAnsi="Times New Roman"/>
        </w:rPr>
        <w:footnoteRef/>
      </w:r>
      <w:r w:rsidRPr="00D26ACB">
        <w:rPr>
          <w:rFonts w:ascii="Times New Roman" w:hAnsi="Times New Roman"/>
          <w:lang w:val="pt-PT"/>
        </w:rPr>
        <w:t xml:space="preserve"> Lietuvos Respublikos Vyriausybės </w:t>
      </w:r>
      <w:r w:rsidRPr="00D26ACB">
        <w:rPr>
          <w:rFonts w:ascii="Times New Roman" w:hAnsi="Times New Roman"/>
          <w:lang w:val="lt-LT"/>
        </w:rPr>
        <w:t>2023 m. lapkričio 29 d. nutarimas Nr. 922 „Dėl</w:t>
      </w:r>
      <w:r w:rsidRPr="00D26ACB">
        <w:rPr>
          <w:rFonts w:ascii="Times New Roman" w:eastAsiaTheme="minorHAnsi" w:hAnsi="Times New Roman"/>
          <w:kern w:val="2"/>
          <w:sz w:val="22"/>
          <w:szCs w:val="22"/>
          <w:lang w:val="lt-LT"/>
          <w14:ligatures w14:val="standardContextual"/>
        </w:rPr>
        <w:t xml:space="preserve"> </w:t>
      </w:r>
      <w:r w:rsidRPr="00D26ACB">
        <w:rPr>
          <w:rFonts w:ascii="Times New Roman" w:hAnsi="Times New Roman"/>
          <w:lang w:val="lt-LT"/>
        </w:rPr>
        <w:t>patalpų Vilniuje, Savičiaus g. 17, perdavimo pagal panaudos sutartį“.</w:t>
      </w:r>
    </w:p>
  </w:footnote>
  <w:footnote w:id="2">
    <w:p w14:paraId="6549FE00" w14:textId="77777777" w:rsidR="00802007" w:rsidRPr="00D26ACB" w:rsidRDefault="00802007" w:rsidP="00494C1B">
      <w:pPr>
        <w:pStyle w:val="Puslapioinaostekstas"/>
        <w:rPr>
          <w:rFonts w:ascii="Times New Roman" w:hAnsi="Times New Roman"/>
          <w:lang w:val="lt-LT"/>
        </w:rPr>
      </w:pPr>
      <w:r w:rsidRPr="00D26ACB">
        <w:rPr>
          <w:rStyle w:val="Puslapioinaosnuoroda"/>
          <w:rFonts w:ascii="Times New Roman" w:hAnsi="Times New Roman"/>
        </w:rPr>
        <w:footnoteRef/>
      </w:r>
      <w:r w:rsidRPr="00D26ACB">
        <w:rPr>
          <w:rFonts w:ascii="Times New Roman" w:hAnsi="Times New Roman"/>
          <w:lang w:val="pt-PT"/>
        </w:rPr>
        <w:t xml:space="preserve"> Lietuvos Respublikos Vyriausybės </w:t>
      </w:r>
      <w:r w:rsidRPr="00D26ACB">
        <w:rPr>
          <w:rFonts w:ascii="Times New Roman" w:hAnsi="Times New Roman"/>
          <w:lang w:val="lt-LT"/>
        </w:rPr>
        <w:t>2023 m. lapkričio 29 d. nutarimas Nr. 922 „Dėl</w:t>
      </w:r>
      <w:r w:rsidRPr="00D26ACB">
        <w:rPr>
          <w:rFonts w:ascii="Times New Roman" w:eastAsiaTheme="minorHAnsi" w:hAnsi="Times New Roman"/>
          <w:kern w:val="2"/>
          <w:sz w:val="22"/>
          <w:szCs w:val="22"/>
          <w:lang w:val="lt-LT"/>
          <w14:ligatures w14:val="standardContextual"/>
        </w:rPr>
        <w:t xml:space="preserve"> </w:t>
      </w:r>
      <w:r w:rsidRPr="00D26ACB">
        <w:rPr>
          <w:rFonts w:ascii="Times New Roman" w:hAnsi="Times New Roman"/>
          <w:lang w:val="lt-LT"/>
        </w:rPr>
        <w:t>patalpų Vilniuje, Savičiaus g. 17, perdavimo pagal panaudos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EEF3" w14:textId="77777777" w:rsidR="00301256" w:rsidRDefault="00301256">
    <w:pPr>
      <w:pStyle w:val="Antrats"/>
      <w:jc w:val="center"/>
    </w:pPr>
  </w:p>
  <w:sdt>
    <w:sdtPr>
      <w:id w:val="-748345341"/>
      <w:docPartObj>
        <w:docPartGallery w:val="Page Numbers (Top of Page)"/>
        <w:docPartUnique/>
      </w:docPartObj>
    </w:sdtPr>
    <w:sdtEndPr/>
    <w:sdtContent>
      <w:p w14:paraId="7C4B4AFD" w14:textId="60C0BA0C" w:rsidR="00301256" w:rsidRDefault="00301256">
        <w:pPr>
          <w:pStyle w:val="Antrats"/>
          <w:jc w:val="center"/>
        </w:pPr>
        <w:r>
          <w:fldChar w:fldCharType="begin"/>
        </w:r>
        <w:r>
          <w:instrText>PAGE   \* MERGEFORMAT</w:instrText>
        </w:r>
        <w:r>
          <w:fldChar w:fldCharType="separate"/>
        </w:r>
        <w:r w:rsidR="009B5EE4">
          <w:rPr>
            <w:noProof/>
          </w:rPr>
          <w:t>17</w:t>
        </w:r>
        <w:r>
          <w:fldChar w:fldCharType="end"/>
        </w:r>
      </w:p>
    </w:sdtContent>
  </w:sdt>
  <w:p w14:paraId="0B771DD8" w14:textId="115BDE98" w:rsidR="007C1C01" w:rsidRDefault="007C1C01">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01"/>
    <w:rsid w:val="00003011"/>
    <w:rsid w:val="000146B1"/>
    <w:rsid w:val="00083F21"/>
    <w:rsid w:val="00135FD0"/>
    <w:rsid w:val="00274524"/>
    <w:rsid w:val="0028774E"/>
    <w:rsid w:val="00301256"/>
    <w:rsid w:val="00393FF2"/>
    <w:rsid w:val="003A5657"/>
    <w:rsid w:val="003B0E4A"/>
    <w:rsid w:val="003D1E71"/>
    <w:rsid w:val="003E0CC5"/>
    <w:rsid w:val="00494C1B"/>
    <w:rsid w:val="004D00A7"/>
    <w:rsid w:val="005D2437"/>
    <w:rsid w:val="005F5640"/>
    <w:rsid w:val="00630F51"/>
    <w:rsid w:val="006E3ECC"/>
    <w:rsid w:val="00705054"/>
    <w:rsid w:val="007134FF"/>
    <w:rsid w:val="007B0B33"/>
    <w:rsid w:val="007B441F"/>
    <w:rsid w:val="007C1C01"/>
    <w:rsid w:val="00802007"/>
    <w:rsid w:val="0081163B"/>
    <w:rsid w:val="008549B6"/>
    <w:rsid w:val="00892047"/>
    <w:rsid w:val="00897D43"/>
    <w:rsid w:val="008F3FBC"/>
    <w:rsid w:val="009445A7"/>
    <w:rsid w:val="0098501E"/>
    <w:rsid w:val="009A74DE"/>
    <w:rsid w:val="009B5EE4"/>
    <w:rsid w:val="00A13A30"/>
    <w:rsid w:val="00AB7E20"/>
    <w:rsid w:val="00AE2B1D"/>
    <w:rsid w:val="00AE5668"/>
    <w:rsid w:val="00B317D6"/>
    <w:rsid w:val="00B473BB"/>
    <w:rsid w:val="00BB712B"/>
    <w:rsid w:val="00C7748C"/>
    <w:rsid w:val="00D222D0"/>
    <w:rsid w:val="00D920BC"/>
    <w:rsid w:val="00DB61A2"/>
    <w:rsid w:val="00DC374F"/>
    <w:rsid w:val="00DD5292"/>
    <w:rsid w:val="00E32AD4"/>
    <w:rsid w:val="00E92820"/>
    <w:rsid w:val="00EC3CEC"/>
    <w:rsid w:val="00EE2E31"/>
    <w:rsid w:val="00F2152A"/>
    <w:rsid w:val="00F54D76"/>
    <w:rsid w:val="00F61AE0"/>
    <w:rsid w:val="00FC7345"/>
    <w:rsid w:val="00FE229E"/>
    <w:rsid w:val="00FE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1E0A20"/>
  <w15:docId w15:val="{44630FB7-2642-4C8C-B8CA-7D78D342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3FBC"/>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styleId="Pagrindinistekstas">
    <w:name w:val="Body Text"/>
    <w:basedOn w:val="prastasis"/>
    <w:link w:val="PagrindinistekstasDiagrama"/>
    <w:qFormat/>
    <w:pPr>
      <w:spacing w:after="120"/>
    </w:pPr>
    <w:rPr>
      <w:rFonts w:ascii="Times New Roman" w:eastAsia="Times New Roman" w:hAnsi="Times New Roman" w:cs="Times New Roman"/>
    </w:rPr>
  </w:style>
  <w:style w:type="paragraph" w:customStyle="1" w:styleId="Tablecaption0">
    <w:name w:val="Table caption"/>
    <w:basedOn w:val="prastasis"/>
    <w:link w:val="Tablecaption"/>
    <w:rPr>
      <w:rFonts w:ascii="Times New Roman" w:eastAsia="Times New Roman" w:hAnsi="Times New Roman" w:cs="Times New Roman"/>
      <w:b/>
      <w:bCs/>
    </w:rPr>
  </w:style>
  <w:style w:type="paragraph" w:customStyle="1" w:styleId="Other0">
    <w:name w:val="Other"/>
    <w:basedOn w:val="prastasis"/>
    <w:link w:val="Other"/>
    <w:rPr>
      <w:rFonts w:ascii="Times New Roman" w:eastAsia="Times New Roman" w:hAnsi="Times New Roman" w:cs="Times New Roman"/>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styleId="Sraopastraipa">
    <w:name w:val="List Paragraph"/>
    <w:basedOn w:val="prastasis"/>
    <w:qFormat/>
    <w:rsid w:val="005F5640"/>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styleId="Komentaronuoroda">
    <w:name w:val="annotation reference"/>
    <w:semiHidden/>
    <w:unhideWhenUsed/>
    <w:rsid w:val="006E3ECC"/>
    <w:rPr>
      <w:sz w:val="16"/>
      <w:szCs w:val="16"/>
    </w:rPr>
  </w:style>
  <w:style w:type="paragraph" w:styleId="Komentarotekstas">
    <w:name w:val="annotation text"/>
    <w:basedOn w:val="prastasis"/>
    <w:link w:val="KomentarotekstasDiagrama"/>
    <w:unhideWhenUsed/>
    <w:rsid w:val="006E3ECC"/>
    <w:pPr>
      <w:widowControl/>
    </w:pPr>
    <w:rPr>
      <w:rFonts w:ascii="Times New Roman" w:eastAsia="Times New Roman" w:hAnsi="Times New Roman" w:cs="Times New Roman"/>
      <w:color w:val="auto"/>
      <w:sz w:val="20"/>
      <w:szCs w:val="20"/>
      <w:lang w:val="en-US" w:eastAsia="en-US"/>
    </w:rPr>
  </w:style>
  <w:style w:type="character" w:customStyle="1" w:styleId="KomentarotekstasDiagrama">
    <w:name w:val="Komentaro tekstas Diagrama"/>
    <w:basedOn w:val="Numatytasispastraiposriftas"/>
    <w:link w:val="Komentarotekstas"/>
    <w:rsid w:val="006E3ECC"/>
    <w:rPr>
      <w:rFonts w:ascii="Times New Roman" w:eastAsia="Times New Roman" w:hAnsi="Times New Roman" w:cs="Times New Roman"/>
      <w:sz w:val="20"/>
      <w:szCs w:val="20"/>
      <w:lang w:val="en-US" w:eastAsia="en-US"/>
    </w:rPr>
  </w:style>
  <w:style w:type="character" w:styleId="Puslapioinaosnuoroda">
    <w:name w:val="footnote reference"/>
    <w:basedOn w:val="Numatytasispastraiposriftas"/>
    <w:uiPriority w:val="99"/>
    <w:unhideWhenUsed/>
    <w:rsid w:val="00494C1B"/>
    <w:rPr>
      <w:vertAlign w:val="superscript"/>
    </w:rPr>
  </w:style>
  <w:style w:type="paragraph" w:styleId="Puslapioinaostekstas">
    <w:name w:val="footnote text"/>
    <w:basedOn w:val="prastasis"/>
    <w:link w:val="PuslapioinaostekstasDiagrama"/>
    <w:uiPriority w:val="99"/>
    <w:unhideWhenUsed/>
    <w:rsid w:val="00494C1B"/>
    <w:pPr>
      <w:widowControl/>
      <w:overflowPunct w:val="0"/>
      <w:autoSpaceDE w:val="0"/>
      <w:autoSpaceDN w:val="0"/>
      <w:adjustRightInd w:val="0"/>
      <w:textAlignment w:val="baseline"/>
    </w:pPr>
    <w:rPr>
      <w:rFonts w:ascii="HelveticaLT" w:eastAsia="Times New Roman" w:hAnsi="HelveticaLT" w:cs="Times New Roman"/>
      <w:color w:val="auto"/>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494C1B"/>
    <w:rPr>
      <w:rFonts w:ascii="HelveticaLT" w:eastAsia="Times New Roman" w:hAnsi="HelveticaLT" w:cs="Times New Roman"/>
      <w:sz w:val="20"/>
      <w:szCs w:val="20"/>
      <w:lang w:val="en-GB" w:eastAsia="en-US"/>
    </w:rPr>
  </w:style>
  <w:style w:type="paragraph" w:styleId="Antrats">
    <w:name w:val="header"/>
    <w:basedOn w:val="prastasis"/>
    <w:link w:val="AntratsDiagrama"/>
    <w:uiPriority w:val="99"/>
    <w:unhideWhenUsed/>
    <w:rsid w:val="00135FD0"/>
    <w:pPr>
      <w:tabs>
        <w:tab w:val="center" w:pos="4819"/>
        <w:tab w:val="right" w:pos="9638"/>
      </w:tabs>
    </w:pPr>
  </w:style>
  <w:style w:type="character" w:customStyle="1" w:styleId="AntratsDiagrama">
    <w:name w:val="Antraštės Diagrama"/>
    <w:basedOn w:val="Numatytasispastraiposriftas"/>
    <w:link w:val="Antrats"/>
    <w:uiPriority w:val="99"/>
    <w:rsid w:val="00135FD0"/>
    <w:rPr>
      <w:color w:val="000000"/>
    </w:rPr>
  </w:style>
  <w:style w:type="paragraph" w:styleId="Porat">
    <w:name w:val="footer"/>
    <w:basedOn w:val="prastasis"/>
    <w:link w:val="PoratDiagrama"/>
    <w:uiPriority w:val="99"/>
    <w:unhideWhenUsed/>
    <w:rsid w:val="00135FD0"/>
    <w:pPr>
      <w:tabs>
        <w:tab w:val="center" w:pos="4819"/>
        <w:tab w:val="right" w:pos="9638"/>
      </w:tabs>
    </w:pPr>
  </w:style>
  <w:style w:type="character" w:customStyle="1" w:styleId="PoratDiagrama">
    <w:name w:val="Poraštė Diagrama"/>
    <w:basedOn w:val="Numatytasispastraiposriftas"/>
    <w:link w:val="Porat"/>
    <w:uiPriority w:val="99"/>
    <w:rsid w:val="00135F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B95B5-954F-4FB0-922F-D44E9C5D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20125</Words>
  <Characters>11472</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cp:lastModifiedBy>Ramunė Paukštienė</cp:lastModifiedBy>
  <cp:revision>2</cp:revision>
  <dcterms:created xsi:type="dcterms:W3CDTF">2024-10-30T12:45:00Z</dcterms:created>
  <dcterms:modified xsi:type="dcterms:W3CDTF">2024-10-30T12:45:00Z</dcterms:modified>
</cp:coreProperties>
</file>