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86DC4C" w14:textId="77777777" w:rsidR="00DC3A5B" w:rsidRDefault="0071547F" w:rsidP="00BC3E44">
      <w:pPr>
        <w:jc w:val="center"/>
        <w:rPr>
          <w:b/>
          <w:bCs/>
        </w:rPr>
        <w:sectPr w:rsidR="00DC3A5B" w:rsidSect="00B66ADA">
          <w:pgSz w:w="16838" w:h="11906" w:orient="landscape"/>
          <w:pgMar w:top="1134" w:right="1134" w:bottom="1134" w:left="1134" w:header="567" w:footer="567" w:gutter="0"/>
          <w:cols w:space="1296"/>
          <w:docGrid w:linePitch="360"/>
        </w:sectPr>
      </w:pPr>
      <w:r w:rsidRPr="00BC3E44">
        <w:rPr>
          <w:b/>
          <w:bCs/>
        </w:rPr>
        <w:t xml:space="preserve">KORUPCIJOS RIZIKOS ANALIZĖS </w:t>
      </w:r>
      <w:r w:rsidR="00030E75" w:rsidRPr="00030E75">
        <w:rPr>
          <w:b/>
          <w:bCs/>
        </w:rPr>
        <w:t>LICENCIJŲ ORGANIZUOTI AZARTINIUS LOŠIMUS IR LEIDIMŲ ATIDARYTI AUTOMATŲ AR BINGO SALONUS, LOŠIMO NAMUS (KAZINO) ARBA ORGANIZUOTI NUOTOLINIUS LOŠIMUS IŠDAVIMO BEI LOŠIMŲ ORGANIZAVIMO PRIEŽIŪROS IR KONTROLĖS PROCESUOSE LOŠIMŲ PRIEŽIŪROS TARNYBOJE PRIE LIETUVOS RESPUBLIKOS FINANSŲ MINISTERIJOS</w:t>
      </w:r>
      <w:r w:rsidR="00030E75">
        <w:rPr>
          <w:b/>
          <w:bCs/>
        </w:rPr>
        <w:t xml:space="preserve"> </w:t>
      </w:r>
      <w:r w:rsidRPr="00BC3E44">
        <w:rPr>
          <w:b/>
          <w:bCs/>
        </w:rPr>
        <w:t>IŠVADOJE</w:t>
      </w:r>
    </w:p>
    <w:p w14:paraId="711CD6AD" w14:textId="74775CE1" w:rsidR="00694944" w:rsidRPr="00BC3E44" w:rsidRDefault="00694944" w:rsidP="00BC3E44">
      <w:pPr>
        <w:jc w:val="center"/>
        <w:rPr>
          <w:b/>
          <w:bCs/>
        </w:rPr>
      </w:pPr>
      <w:r w:rsidRPr="00BC3E44">
        <w:rPr>
          <w:b/>
          <w:bCs/>
        </w:rPr>
        <w:t>PATEIKTŲ PASIŪLYMŲ ĮGYVENDINIMAS</w:t>
      </w:r>
    </w:p>
    <w:p w14:paraId="63E4F447" w14:textId="77777777" w:rsidR="0071547F" w:rsidRPr="00C5156F" w:rsidRDefault="0071547F" w:rsidP="00694944">
      <w:pPr>
        <w:jc w:val="center"/>
        <w:outlineLvl w:val="0"/>
        <w:rPr>
          <w:b/>
          <w:bCs/>
        </w:rPr>
      </w:pPr>
    </w:p>
    <w:p w14:paraId="711CD6AE" w14:textId="76F10365" w:rsidR="00694944" w:rsidRPr="00C8099B" w:rsidRDefault="00F94425" w:rsidP="00814E17">
      <w:pPr>
        <w:pStyle w:val="Sraopastraipa"/>
        <w:ind w:left="0" w:firstLine="851"/>
        <w:jc w:val="both"/>
        <w:rPr>
          <w:szCs w:val="24"/>
          <w:lang w:eastAsia="lt-LT"/>
        </w:rPr>
      </w:pPr>
      <w:r w:rsidRPr="00030E75">
        <w:t>Išvada</w:t>
      </w:r>
      <w:r w:rsidR="00AA1D4A">
        <w:rPr>
          <w:rStyle w:val="Puslapioinaosnuoroda"/>
        </w:rPr>
        <w:footnoteReference w:id="1"/>
      </w:r>
      <w:r w:rsidRPr="00030E75">
        <w:t xml:space="preserve"> pateikta Lošimų priežiūros tarnyb</w:t>
      </w:r>
      <w:r>
        <w:t>ai</w:t>
      </w:r>
      <w:r w:rsidRPr="00030E75">
        <w:t xml:space="preserve"> prie Lietuvos Respublikos finansų ministerijos (toliau – Priežiūros tarnyba) ir </w:t>
      </w:r>
      <w:r w:rsidR="00814E17">
        <w:t>Lietuvos Respublikos f</w:t>
      </w:r>
      <w:r w:rsidRPr="00030E75">
        <w:t>inansų ministerijai 2025-04-22 raštu Nr. 4-01-3768.</w:t>
      </w:r>
      <w:r>
        <w:t xml:space="preserve"> </w:t>
      </w:r>
      <w:r w:rsidR="00EB5D0B" w:rsidRPr="00B45AD6">
        <w:rPr>
          <w:bCs/>
          <w:szCs w:val="24"/>
        </w:rPr>
        <w:t>Pirminei pasiūlymų įgyvendinimo stebėsenai</w:t>
      </w:r>
      <w:r w:rsidR="0071547F" w:rsidRPr="00B45AD6">
        <w:rPr>
          <w:bCs/>
          <w:szCs w:val="24"/>
        </w:rPr>
        <w:t xml:space="preserve"> </w:t>
      </w:r>
      <w:r w:rsidR="005A4634">
        <w:rPr>
          <w:bCs/>
          <w:szCs w:val="24"/>
        </w:rPr>
        <w:t>Priežiūros tarnyba</w:t>
      </w:r>
      <w:r w:rsidR="00EB5D0B" w:rsidRPr="00B45AD6">
        <w:rPr>
          <w:bCs/>
          <w:szCs w:val="24"/>
        </w:rPr>
        <w:t xml:space="preserve"> pateikė informaciją 2025-07-0</w:t>
      </w:r>
      <w:r w:rsidR="00D17866" w:rsidRPr="00B45AD6">
        <w:rPr>
          <w:bCs/>
          <w:szCs w:val="24"/>
        </w:rPr>
        <w:t>4</w:t>
      </w:r>
      <w:r w:rsidR="00EB5D0B" w:rsidRPr="00B45AD6">
        <w:rPr>
          <w:bCs/>
          <w:szCs w:val="24"/>
        </w:rPr>
        <w:t xml:space="preserve"> raštu Nr. </w:t>
      </w:r>
      <w:r w:rsidR="00796CBC" w:rsidRPr="00796CBC">
        <w:rPr>
          <w:bCs/>
          <w:szCs w:val="24"/>
        </w:rPr>
        <w:t>2E-1118</w:t>
      </w:r>
      <w:r w:rsidR="00181991">
        <w:rPr>
          <w:bCs/>
          <w:szCs w:val="24"/>
        </w:rPr>
        <w:t xml:space="preserve"> </w:t>
      </w:r>
      <w:r w:rsidR="00181991">
        <w:rPr>
          <w:szCs w:val="24"/>
          <w:lang w:eastAsia="lt-LT"/>
        </w:rPr>
        <w:t xml:space="preserve">(STT </w:t>
      </w:r>
      <w:proofErr w:type="spellStart"/>
      <w:r w:rsidR="00181991">
        <w:rPr>
          <w:szCs w:val="24"/>
          <w:lang w:eastAsia="lt-LT"/>
        </w:rPr>
        <w:t>reg</w:t>
      </w:r>
      <w:proofErr w:type="spellEnd"/>
      <w:r w:rsidR="00181991">
        <w:rPr>
          <w:szCs w:val="24"/>
          <w:lang w:eastAsia="lt-LT"/>
        </w:rPr>
        <w:t xml:space="preserve">. Nr. </w:t>
      </w:r>
      <w:r w:rsidR="00181991" w:rsidRPr="00181991">
        <w:rPr>
          <w:szCs w:val="24"/>
          <w:lang w:eastAsia="lt-LT"/>
        </w:rPr>
        <w:t>5-01-8542</w:t>
      </w:r>
      <w:r w:rsidR="00181991">
        <w:rPr>
          <w:szCs w:val="24"/>
          <w:lang w:eastAsia="lt-LT"/>
        </w:rPr>
        <w:t>)</w:t>
      </w:r>
      <w:r w:rsidR="0014714B" w:rsidRPr="00B45AD6">
        <w:rPr>
          <w:bCs/>
          <w:szCs w:val="24"/>
        </w:rPr>
        <w:t>.</w:t>
      </w:r>
      <w:r w:rsidR="00717949">
        <w:rPr>
          <w:szCs w:val="24"/>
          <w:lang w:eastAsia="lt-LT"/>
        </w:rPr>
        <w:t xml:space="preserve"> </w:t>
      </w:r>
      <w:r w:rsidR="00D0522A">
        <w:rPr>
          <w:szCs w:val="24"/>
          <w:lang w:eastAsia="lt-LT"/>
        </w:rPr>
        <w:t xml:space="preserve">Informacija paskelbta: </w:t>
      </w:r>
      <w:hyperlink r:id="rId11" w:history="1">
        <w:r w:rsidR="00D0522A" w:rsidRPr="008B3F33">
          <w:rPr>
            <w:rStyle w:val="Hipersaitas"/>
            <w:szCs w:val="24"/>
            <w:lang w:eastAsia="lt-LT"/>
          </w:rPr>
          <w:t>https://lpt.lrv.lt/lt/korupcijos-prevencija/informacija-apie-stt-pateiktu-siulymu-igyvendinima/</w:t>
        </w:r>
      </w:hyperlink>
      <w:r w:rsidR="00D0522A">
        <w:rPr>
          <w:szCs w:val="24"/>
          <w:lang w:eastAsia="lt-LT"/>
        </w:rPr>
        <w:t>.</w:t>
      </w:r>
      <w:r w:rsidR="00814E17">
        <w:rPr>
          <w:szCs w:val="24"/>
          <w:lang w:eastAsia="lt-LT"/>
        </w:rPr>
        <w:t xml:space="preserve"> </w:t>
      </w:r>
      <w:r w:rsidR="00717949">
        <w:rPr>
          <w:szCs w:val="24"/>
          <w:lang w:eastAsia="lt-LT"/>
        </w:rPr>
        <w:t>F</w:t>
      </w:r>
      <w:r w:rsidR="00814E17">
        <w:rPr>
          <w:szCs w:val="24"/>
          <w:lang w:eastAsia="lt-LT"/>
        </w:rPr>
        <w:t>inansų ministerija</w:t>
      </w:r>
      <w:r w:rsidR="00717949">
        <w:rPr>
          <w:szCs w:val="24"/>
          <w:lang w:eastAsia="lt-LT"/>
        </w:rPr>
        <w:t xml:space="preserve"> informaciją pateikė </w:t>
      </w:r>
      <w:r w:rsidR="00796CBC" w:rsidRPr="00181991">
        <w:rPr>
          <w:szCs w:val="24"/>
          <w:lang w:eastAsia="lt-LT"/>
        </w:rPr>
        <w:t>2025-07-15 raštu Nr. 6K-25/3723</w:t>
      </w:r>
      <w:r w:rsidR="00181991">
        <w:rPr>
          <w:szCs w:val="24"/>
          <w:lang w:eastAsia="lt-LT"/>
        </w:rPr>
        <w:t xml:space="preserve"> (STT </w:t>
      </w:r>
      <w:proofErr w:type="spellStart"/>
      <w:r w:rsidR="00181991">
        <w:rPr>
          <w:szCs w:val="24"/>
          <w:lang w:eastAsia="lt-LT"/>
        </w:rPr>
        <w:t>reg</w:t>
      </w:r>
      <w:proofErr w:type="spellEnd"/>
      <w:r w:rsidR="00181991">
        <w:rPr>
          <w:szCs w:val="24"/>
          <w:lang w:eastAsia="lt-LT"/>
        </w:rPr>
        <w:t xml:space="preserve">. Nr. </w:t>
      </w:r>
      <w:r w:rsidR="003F3D7D" w:rsidRPr="003F3D7D">
        <w:rPr>
          <w:szCs w:val="24"/>
          <w:lang w:eastAsia="lt-LT"/>
        </w:rPr>
        <w:t>5-01-9040</w:t>
      </w:r>
      <w:r w:rsidR="003F3D7D">
        <w:rPr>
          <w:szCs w:val="24"/>
          <w:lang w:eastAsia="lt-LT"/>
        </w:rPr>
        <w:t>)</w:t>
      </w:r>
      <w:r w:rsidR="00915761">
        <w:rPr>
          <w:szCs w:val="24"/>
          <w:lang w:eastAsia="lt-LT"/>
        </w:rPr>
        <w:t xml:space="preserve"> bei </w:t>
      </w:r>
      <w:r w:rsidR="001427E6">
        <w:rPr>
          <w:szCs w:val="24"/>
          <w:lang w:eastAsia="lt-LT"/>
        </w:rPr>
        <w:t>2025-08-07</w:t>
      </w:r>
      <w:r w:rsidR="00755960">
        <w:rPr>
          <w:szCs w:val="24"/>
          <w:lang w:eastAsia="lt-LT"/>
        </w:rPr>
        <w:t xml:space="preserve"> </w:t>
      </w:r>
      <w:r w:rsidR="001427E6">
        <w:rPr>
          <w:szCs w:val="24"/>
          <w:lang w:eastAsia="lt-LT"/>
        </w:rPr>
        <w:t xml:space="preserve">raštu </w:t>
      </w:r>
      <w:r w:rsidR="001427E6" w:rsidRPr="00755960">
        <w:rPr>
          <w:szCs w:val="24"/>
          <w:lang w:eastAsia="lt-LT"/>
        </w:rPr>
        <w:t xml:space="preserve">Nr. </w:t>
      </w:r>
      <w:r w:rsidR="00755960" w:rsidRPr="00755960">
        <w:rPr>
          <w:szCs w:val="24"/>
          <w:lang w:eastAsia="lt-LT"/>
        </w:rPr>
        <w:t>5-01-1006</w:t>
      </w:r>
      <w:r w:rsidR="00755960" w:rsidRPr="001221DA">
        <w:rPr>
          <w:szCs w:val="24"/>
          <w:lang w:eastAsia="lt-LT"/>
        </w:rPr>
        <w:t>7</w:t>
      </w:r>
      <w:r w:rsidR="001427E6" w:rsidRPr="001221DA">
        <w:rPr>
          <w:szCs w:val="24"/>
          <w:lang w:eastAsia="lt-LT"/>
        </w:rPr>
        <w:t xml:space="preserve">. </w:t>
      </w:r>
      <w:r w:rsidR="00D0522A">
        <w:rPr>
          <w:szCs w:val="24"/>
          <w:lang w:eastAsia="lt-LT"/>
        </w:rPr>
        <w:t>Informacij</w:t>
      </w:r>
      <w:r w:rsidR="00422FD5">
        <w:rPr>
          <w:szCs w:val="24"/>
          <w:lang w:eastAsia="lt-LT"/>
        </w:rPr>
        <w:t>a</w:t>
      </w:r>
      <w:r w:rsidR="00C8099B">
        <w:rPr>
          <w:szCs w:val="24"/>
          <w:lang w:eastAsia="lt-LT"/>
        </w:rPr>
        <w:t xml:space="preserve"> </w:t>
      </w:r>
      <w:r w:rsidR="00422FD5">
        <w:rPr>
          <w:szCs w:val="24"/>
          <w:lang w:eastAsia="lt-LT"/>
        </w:rPr>
        <w:t xml:space="preserve">paskelbta: </w:t>
      </w:r>
      <w:hyperlink r:id="rId12" w:history="1">
        <w:r w:rsidR="00422FD5" w:rsidRPr="00CB2219">
          <w:rPr>
            <w:rStyle w:val="Hipersaitas"/>
            <w:szCs w:val="24"/>
            <w:lang w:eastAsia="lt-LT"/>
          </w:rPr>
          <w:t>https://finmin.lrv.lt/lt/korupcijos-prevencija/korupcijos-rizikos-analize/</w:t>
        </w:r>
      </w:hyperlink>
      <w:r w:rsidR="00C8099B">
        <w:rPr>
          <w:szCs w:val="24"/>
          <w:lang w:eastAsia="lt-LT"/>
        </w:rPr>
        <w:t>.</w:t>
      </w:r>
    </w:p>
    <w:p w14:paraId="692CC0F2" w14:textId="77777777" w:rsidR="0034418E" w:rsidRDefault="0034418E" w:rsidP="0034418E"/>
    <w:tbl>
      <w:tblPr>
        <w:tblStyle w:val="Lentelstinklelis"/>
        <w:tblW w:w="0" w:type="auto"/>
        <w:tblLayout w:type="fixed"/>
        <w:tblLook w:val="04A0" w:firstRow="1" w:lastRow="0" w:firstColumn="1" w:lastColumn="0" w:noHBand="0" w:noVBand="1"/>
      </w:tblPr>
      <w:tblGrid>
        <w:gridCol w:w="2680"/>
        <w:gridCol w:w="2747"/>
        <w:gridCol w:w="6050"/>
        <w:gridCol w:w="2945"/>
      </w:tblGrid>
      <w:tr w:rsidR="00FF1DF0" w:rsidRPr="002B3452" w14:paraId="2B949321" w14:textId="77777777" w:rsidTr="009F0C4F">
        <w:tc>
          <w:tcPr>
            <w:tcW w:w="2680" w:type="dxa"/>
          </w:tcPr>
          <w:p w14:paraId="2237D327" w14:textId="77777777" w:rsidR="0037500E" w:rsidRPr="008F1D8D" w:rsidRDefault="0037500E" w:rsidP="00187C33">
            <w:pPr>
              <w:widowControl w:val="0"/>
              <w:jc w:val="center"/>
              <w:rPr>
                <w:i/>
                <w:snapToGrid w:val="0"/>
              </w:rPr>
            </w:pPr>
            <w:r w:rsidRPr="008F1D8D">
              <w:rPr>
                <w:i/>
                <w:snapToGrid w:val="0"/>
              </w:rPr>
              <w:t>Pateiktos pastabos</w:t>
            </w:r>
          </w:p>
        </w:tc>
        <w:tc>
          <w:tcPr>
            <w:tcW w:w="2747" w:type="dxa"/>
          </w:tcPr>
          <w:p w14:paraId="52AC4B25" w14:textId="77777777" w:rsidR="0037500E" w:rsidRPr="008F1D8D" w:rsidRDefault="0037500E" w:rsidP="00187C33">
            <w:pPr>
              <w:widowControl w:val="0"/>
              <w:jc w:val="center"/>
              <w:rPr>
                <w:i/>
                <w:snapToGrid w:val="0"/>
              </w:rPr>
            </w:pPr>
            <w:r w:rsidRPr="008F1D8D">
              <w:rPr>
                <w:i/>
                <w:snapToGrid w:val="0"/>
              </w:rPr>
              <w:t>Pasiūlymai atsižvelgiant į pateiktas pastabas</w:t>
            </w:r>
          </w:p>
        </w:tc>
        <w:tc>
          <w:tcPr>
            <w:tcW w:w="6050" w:type="dxa"/>
          </w:tcPr>
          <w:p w14:paraId="36CBAB53" w14:textId="77777777" w:rsidR="0037500E" w:rsidRPr="008F1D8D" w:rsidRDefault="0037500E" w:rsidP="00187C33">
            <w:pPr>
              <w:widowControl w:val="0"/>
              <w:jc w:val="center"/>
              <w:rPr>
                <w:i/>
                <w:snapToGrid w:val="0"/>
              </w:rPr>
            </w:pPr>
            <w:r w:rsidRPr="008F1D8D">
              <w:rPr>
                <w:i/>
                <w:snapToGrid w:val="0"/>
              </w:rPr>
              <w:t>Duomenys apie pastabų ir pasiūlymų įgyvendinimą</w:t>
            </w:r>
          </w:p>
        </w:tc>
        <w:tc>
          <w:tcPr>
            <w:tcW w:w="2945" w:type="dxa"/>
          </w:tcPr>
          <w:p w14:paraId="3E7863AC" w14:textId="77777777" w:rsidR="0037500E" w:rsidRPr="008F1D8D" w:rsidRDefault="0037500E" w:rsidP="00187C33">
            <w:pPr>
              <w:widowControl w:val="0"/>
              <w:jc w:val="center"/>
              <w:rPr>
                <w:i/>
                <w:snapToGrid w:val="0"/>
              </w:rPr>
            </w:pPr>
            <w:r w:rsidRPr="008F1D8D">
              <w:rPr>
                <w:i/>
                <w:snapToGrid w:val="0"/>
              </w:rPr>
              <w:t>Specialiųjų tyrimų tarnybos vertinimas</w:t>
            </w:r>
          </w:p>
        </w:tc>
      </w:tr>
      <w:tr w:rsidR="0037500E" w:rsidRPr="002B3452" w14:paraId="27BD7A2B" w14:textId="77777777" w:rsidTr="009F0C4F">
        <w:tc>
          <w:tcPr>
            <w:tcW w:w="14422" w:type="dxa"/>
            <w:gridSpan w:val="4"/>
          </w:tcPr>
          <w:p w14:paraId="7DDD2410" w14:textId="77777777" w:rsidR="0037500E" w:rsidRPr="008F1D8D" w:rsidRDefault="0037500E" w:rsidP="00187C33">
            <w:pPr>
              <w:pStyle w:val="Sraopastraipa"/>
              <w:widowControl w:val="0"/>
              <w:numPr>
                <w:ilvl w:val="0"/>
                <w:numId w:val="1"/>
              </w:numPr>
              <w:jc w:val="center"/>
              <w:rPr>
                <w:i/>
                <w:snapToGrid w:val="0"/>
              </w:rPr>
            </w:pPr>
            <w:r w:rsidRPr="008F1D8D">
              <w:rPr>
                <w:i/>
                <w:snapToGrid w:val="0"/>
              </w:rPr>
              <w:t>Kritinės antikorupcinės pastabos</w:t>
            </w:r>
          </w:p>
        </w:tc>
      </w:tr>
      <w:tr w:rsidR="00195AA5" w:rsidRPr="002B3452" w14:paraId="4207C2B6" w14:textId="77777777" w:rsidTr="009F0C4F">
        <w:tc>
          <w:tcPr>
            <w:tcW w:w="2680" w:type="dxa"/>
          </w:tcPr>
          <w:p w14:paraId="00893E9B" w14:textId="05A5BB63" w:rsidR="00195AA5" w:rsidRDefault="00CD3B2E" w:rsidP="006B0B20">
            <w:pPr>
              <w:widowControl w:val="0"/>
              <w:spacing w:after="120"/>
              <w:jc w:val="both"/>
              <w:rPr>
                <w:iCs/>
              </w:rPr>
            </w:pPr>
            <w:r>
              <w:rPr>
                <w:iCs/>
              </w:rPr>
              <w:t xml:space="preserve">5.1.1. </w:t>
            </w:r>
            <w:r w:rsidR="00195AA5" w:rsidRPr="008677E8">
              <w:rPr>
                <w:iCs/>
              </w:rPr>
              <w:t xml:space="preserve">Analizuojamu laikotarpiu </w:t>
            </w:r>
            <w:r w:rsidR="00195AA5">
              <w:rPr>
                <w:iCs/>
              </w:rPr>
              <w:t xml:space="preserve">ALĮ nustatytas </w:t>
            </w:r>
            <w:r w:rsidR="00195AA5" w:rsidRPr="008677E8">
              <w:rPr>
                <w:iCs/>
              </w:rPr>
              <w:t xml:space="preserve">nepriekaištingos reputacijos reikalavimas buvo </w:t>
            </w:r>
            <w:r w:rsidR="00195AA5">
              <w:rPr>
                <w:iCs/>
              </w:rPr>
              <w:t>per siauras</w:t>
            </w:r>
            <w:r w:rsidR="00195AA5" w:rsidRPr="008677E8">
              <w:rPr>
                <w:iCs/>
              </w:rPr>
              <w:t xml:space="preserve">, </w:t>
            </w:r>
            <w:r w:rsidR="00195AA5">
              <w:rPr>
                <w:iCs/>
              </w:rPr>
              <w:t>n</w:t>
            </w:r>
            <w:r w:rsidR="00195AA5" w:rsidRPr="008677E8">
              <w:rPr>
                <w:iCs/>
              </w:rPr>
              <w:t>uo 2024-11-01 įsigalio</w:t>
            </w:r>
            <w:r w:rsidR="00195AA5">
              <w:rPr>
                <w:iCs/>
              </w:rPr>
              <w:t>ję ALĮ</w:t>
            </w:r>
            <w:r w:rsidR="00195AA5" w:rsidRPr="008677E8">
              <w:rPr>
                <w:iCs/>
              </w:rPr>
              <w:t xml:space="preserve"> pakeitimai iš dalies </w:t>
            </w:r>
            <w:r w:rsidR="00195AA5">
              <w:rPr>
                <w:iCs/>
              </w:rPr>
              <w:t>išsprendė</w:t>
            </w:r>
            <w:r w:rsidR="00195AA5" w:rsidRPr="008677E8">
              <w:rPr>
                <w:iCs/>
              </w:rPr>
              <w:t xml:space="preserve"> š</w:t>
            </w:r>
            <w:r w:rsidR="00195AA5">
              <w:rPr>
                <w:iCs/>
              </w:rPr>
              <w:t>ią</w:t>
            </w:r>
            <w:r w:rsidR="00195AA5" w:rsidRPr="008677E8">
              <w:rPr>
                <w:iCs/>
              </w:rPr>
              <w:t xml:space="preserve"> problem</w:t>
            </w:r>
            <w:r w:rsidR="00195AA5">
              <w:rPr>
                <w:iCs/>
              </w:rPr>
              <w:t>ą</w:t>
            </w:r>
            <w:r w:rsidR="00195AA5" w:rsidRPr="008677E8">
              <w:rPr>
                <w:iCs/>
              </w:rPr>
              <w:t xml:space="preserve">, </w:t>
            </w:r>
            <w:r w:rsidR="00195AA5">
              <w:rPr>
                <w:iCs/>
              </w:rPr>
              <w:t xml:space="preserve">tačiau </w:t>
            </w:r>
            <w:r w:rsidR="00195AA5" w:rsidRPr="008677E8">
              <w:rPr>
                <w:iCs/>
              </w:rPr>
              <w:t>vis dar lieka esminių reglamentavimo spragų</w:t>
            </w:r>
            <w:r w:rsidR="00195AA5">
              <w:rPr>
                <w:iCs/>
              </w:rPr>
              <w:t>:</w:t>
            </w:r>
            <w:r w:rsidR="00195AA5" w:rsidRPr="008677E8">
              <w:rPr>
                <w:iCs/>
              </w:rPr>
              <w:t xml:space="preserve"> ALĮ nėra aiškiai apibrėžtos</w:t>
            </w:r>
            <w:r w:rsidR="00195AA5">
              <w:rPr>
                <w:iCs/>
              </w:rPr>
              <w:t xml:space="preserve"> </w:t>
            </w:r>
            <w:r w:rsidR="00195AA5" w:rsidRPr="00880077">
              <w:rPr>
                <w:i/>
              </w:rPr>
              <w:t>lošėjus aptarnaujan</w:t>
            </w:r>
            <w:r w:rsidR="00195AA5">
              <w:rPr>
                <w:i/>
              </w:rPr>
              <w:t>čio</w:t>
            </w:r>
            <w:r w:rsidR="00195AA5" w:rsidRPr="00880077">
              <w:rPr>
                <w:i/>
              </w:rPr>
              <w:t xml:space="preserve"> </w:t>
            </w:r>
            <w:r w:rsidR="00195AA5">
              <w:rPr>
                <w:i/>
              </w:rPr>
              <w:t>personalo</w:t>
            </w:r>
            <w:r w:rsidR="00195AA5" w:rsidRPr="008677E8">
              <w:rPr>
                <w:iCs/>
              </w:rPr>
              <w:t xml:space="preserve"> ir</w:t>
            </w:r>
            <w:r w:rsidR="00195AA5">
              <w:rPr>
                <w:iCs/>
              </w:rPr>
              <w:t xml:space="preserve"> </w:t>
            </w:r>
            <w:r w:rsidR="00195AA5" w:rsidRPr="00880077">
              <w:rPr>
                <w:i/>
              </w:rPr>
              <w:t xml:space="preserve">pasitelktų lošimų veiklos leidime </w:t>
            </w:r>
            <w:r w:rsidR="00195AA5" w:rsidRPr="00880077">
              <w:rPr>
                <w:i/>
              </w:rPr>
              <w:lastRenderedPageBreak/>
              <w:t>nurodomai lošimų organizavimo veiklai vykdyti ar konsultavimui dėl šios veiklos vykdymo asmenų</w:t>
            </w:r>
            <w:r w:rsidR="00195AA5">
              <w:rPr>
                <w:iCs/>
              </w:rPr>
              <w:t xml:space="preserve"> sąvokos. D</w:t>
            </w:r>
            <w:r w:rsidR="00195AA5" w:rsidRPr="005A6B7D">
              <w:rPr>
                <w:iCs/>
              </w:rPr>
              <w:t xml:space="preserve">ėl aiškių kriterijų ir procedūrų stokos gali būti sudaromos sąlygos priimti subjektyvius ar neskaidrius sprendimus </w:t>
            </w:r>
            <w:r w:rsidR="00195AA5">
              <w:rPr>
                <w:iCs/>
              </w:rPr>
              <w:t>atliekant šių</w:t>
            </w:r>
            <w:r w:rsidR="00195AA5" w:rsidRPr="005A6B7D">
              <w:rPr>
                <w:iCs/>
              </w:rPr>
              <w:t xml:space="preserve"> asmenų atitikties reikalavim</w:t>
            </w:r>
            <w:r w:rsidR="00195AA5">
              <w:rPr>
                <w:iCs/>
              </w:rPr>
              <w:t>ui vertinimą.</w:t>
            </w:r>
          </w:p>
        </w:tc>
        <w:tc>
          <w:tcPr>
            <w:tcW w:w="2747" w:type="dxa"/>
          </w:tcPr>
          <w:p w14:paraId="381FA65F" w14:textId="77777777" w:rsidR="00195AA5" w:rsidRDefault="00195AA5" w:rsidP="00352A41">
            <w:pPr>
              <w:widowControl w:val="0"/>
              <w:spacing w:after="120"/>
              <w:jc w:val="both"/>
              <w:rPr>
                <w:b/>
                <w:bCs/>
              </w:rPr>
            </w:pPr>
            <w:r w:rsidRPr="00195AA5">
              <w:rPr>
                <w:b/>
                <w:bCs/>
              </w:rPr>
              <w:lastRenderedPageBreak/>
              <w:t>Finansų ministerijai</w:t>
            </w:r>
            <w:r>
              <w:rPr>
                <w:b/>
                <w:bCs/>
              </w:rPr>
              <w:t>:</w:t>
            </w:r>
          </w:p>
          <w:p w14:paraId="2C3373C9" w14:textId="35D9F830" w:rsidR="00195AA5" w:rsidRPr="00195AA5" w:rsidRDefault="00CD3B2E" w:rsidP="00352A41">
            <w:pPr>
              <w:widowControl w:val="0"/>
              <w:spacing w:after="120"/>
              <w:jc w:val="both"/>
            </w:pPr>
            <w:r>
              <w:t xml:space="preserve">6.1.1. </w:t>
            </w:r>
            <w:r w:rsidR="00A737D8" w:rsidRPr="001B2F28">
              <w:t xml:space="preserve">Siekdami užtikrinti lošėjų teisėtų interesų apsaugą, lošimo bendrovių sąžiningos konkurencijos sąlygas bei teisinio reguliavimo aiškumą, siūlome ALĮ detalizuoti, kokie asmenys laikytini </w:t>
            </w:r>
            <w:r w:rsidR="00A737D8" w:rsidRPr="001B2F28">
              <w:rPr>
                <w:i/>
                <w:iCs/>
              </w:rPr>
              <w:t>lošėjus aptarnaujančiam personalu</w:t>
            </w:r>
            <w:r w:rsidR="00A737D8" w:rsidRPr="001B2F28">
              <w:t xml:space="preserve"> bei </w:t>
            </w:r>
            <w:r w:rsidR="00A737D8" w:rsidRPr="001B2F28">
              <w:rPr>
                <w:i/>
                <w:iCs/>
              </w:rPr>
              <w:t xml:space="preserve">pasitelktais lošimų veiklos leidime nurodomai lošimų organizavimo veiklai </w:t>
            </w:r>
            <w:r w:rsidR="00A737D8" w:rsidRPr="001B2F28">
              <w:rPr>
                <w:i/>
                <w:iCs/>
              </w:rPr>
              <w:lastRenderedPageBreak/>
              <w:t>vykdyti ar konsultavimui dėl šios veiklos vykdymo asmenimis</w:t>
            </w:r>
            <w:r w:rsidR="00A737D8">
              <w:rPr>
                <w:i/>
                <w:iCs/>
              </w:rPr>
              <w:t>.</w:t>
            </w:r>
          </w:p>
        </w:tc>
        <w:tc>
          <w:tcPr>
            <w:tcW w:w="6050" w:type="dxa"/>
          </w:tcPr>
          <w:p w14:paraId="52AB01AE" w14:textId="77777777" w:rsidR="00067CE1" w:rsidRPr="00A35EB8" w:rsidRDefault="00067CE1" w:rsidP="00067CE1">
            <w:pPr>
              <w:widowControl w:val="0"/>
              <w:spacing w:after="120"/>
              <w:jc w:val="both"/>
              <w:rPr>
                <w:i/>
                <w:iCs/>
                <w:snapToGrid w:val="0"/>
              </w:rPr>
            </w:pPr>
            <w:r w:rsidRPr="00067CE1">
              <w:rPr>
                <w:snapToGrid w:val="0"/>
              </w:rPr>
              <w:lastRenderedPageBreak/>
              <w:t xml:space="preserve">Rengiamas Lietuvos Respublikos azartinių lošimų įstatymo pakeitimo projektas (toliau – Įstatymo projektas), kuriame aiškiai detalizuojama, kokie asmenys laikytini </w:t>
            </w:r>
            <w:r w:rsidRPr="00A35EB8">
              <w:rPr>
                <w:i/>
                <w:iCs/>
                <w:snapToGrid w:val="0"/>
              </w:rPr>
              <w:t xml:space="preserve">lošėjus aptarnaujančiu personalu ir  pasitelktais lošimų veiklos leidime nurodomai lošimų organizavimo veiklai vykdyti ar konsultavimui dėl šios veiklos vykdymo asmenimis. </w:t>
            </w:r>
          </w:p>
          <w:p w14:paraId="4CEDB7B1" w14:textId="056C5E36" w:rsidR="00195AA5" w:rsidRDefault="00067CE1" w:rsidP="00067CE1">
            <w:pPr>
              <w:widowControl w:val="0"/>
              <w:spacing w:after="120"/>
              <w:jc w:val="both"/>
              <w:rPr>
                <w:snapToGrid w:val="0"/>
              </w:rPr>
            </w:pPr>
            <w:r w:rsidRPr="00067CE1">
              <w:rPr>
                <w:snapToGrid w:val="0"/>
              </w:rPr>
              <w:t>Planuojama Įstatymo projektą teikti svarstyti Lietuvos Respublikos Seimui 2026 m. pavasario sesijoje.</w:t>
            </w:r>
          </w:p>
        </w:tc>
        <w:tc>
          <w:tcPr>
            <w:tcW w:w="2945" w:type="dxa"/>
          </w:tcPr>
          <w:p w14:paraId="56ACE631" w14:textId="28484F55" w:rsidR="00195AA5" w:rsidRPr="00067CE1" w:rsidRDefault="006F7F5E" w:rsidP="00352A41">
            <w:pPr>
              <w:widowControl w:val="0"/>
              <w:spacing w:after="120"/>
              <w:rPr>
                <w:b/>
                <w:bCs/>
                <w:snapToGrid w:val="0"/>
                <w:color w:val="2E74B5" w:themeColor="accent1" w:themeShade="BF"/>
              </w:rPr>
            </w:pPr>
            <w:r>
              <w:rPr>
                <w:b/>
                <w:bCs/>
                <w:snapToGrid w:val="0"/>
                <w:color w:val="2E74B5" w:themeColor="accent1" w:themeShade="BF"/>
              </w:rPr>
              <w:t>Pasiūlymas į</w:t>
            </w:r>
            <w:r w:rsidR="00067CE1" w:rsidRPr="00067CE1">
              <w:rPr>
                <w:b/>
                <w:bCs/>
                <w:snapToGrid w:val="0"/>
                <w:color w:val="2E74B5" w:themeColor="accent1" w:themeShade="BF"/>
              </w:rPr>
              <w:t>gyvendin</w:t>
            </w:r>
            <w:r w:rsidR="00B92434">
              <w:rPr>
                <w:b/>
                <w:bCs/>
                <w:snapToGrid w:val="0"/>
                <w:color w:val="2E74B5" w:themeColor="accent1" w:themeShade="BF"/>
              </w:rPr>
              <w:t>ama</w:t>
            </w:r>
            <w:r>
              <w:rPr>
                <w:b/>
                <w:bCs/>
                <w:snapToGrid w:val="0"/>
                <w:color w:val="2E74B5" w:themeColor="accent1" w:themeShade="BF"/>
              </w:rPr>
              <w:t>s</w:t>
            </w:r>
          </w:p>
        </w:tc>
      </w:tr>
      <w:tr w:rsidR="00FF1DF0" w:rsidRPr="002B3452" w14:paraId="578637E3" w14:textId="77777777" w:rsidTr="009F0C4F">
        <w:tc>
          <w:tcPr>
            <w:tcW w:w="2680" w:type="dxa"/>
          </w:tcPr>
          <w:p w14:paraId="2B047CF1" w14:textId="6BA684BC" w:rsidR="0037500E" w:rsidRPr="002B3452" w:rsidRDefault="00504C25" w:rsidP="00705AF6">
            <w:pPr>
              <w:widowControl w:val="0"/>
              <w:tabs>
                <w:tab w:val="left" w:pos="164"/>
              </w:tabs>
              <w:spacing w:before="120" w:after="120"/>
              <w:jc w:val="both"/>
              <w:rPr>
                <w:snapToGrid w:val="0"/>
              </w:rPr>
            </w:pPr>
            <w:r>
              <w:rPr>
                <w:iCs/>
              </w:rPr>
              <w:t xml:space="preserve">5.1.2. </w:t>
            </w:r>
            <w:r w:rsidR="0029694C">
              <w:rPr>
                <w:iCs/>
              </w:rPr>
              <w:t>N</w:t>
            </w:r>
            <w:r w:rsidR="0029694C" w:rsidRPr="005A6B7D">
              <w:rPr>
                <w:iCs/>
              </w:rPr>
              <w:t xml:space="preserve">esant aiškiai apibrėžto periodinio </w:t>
            </w:r>
            <w:r w:rsidR="0029694C">
              <w:rPr>
                <w:iCs/>
              </w:rPr>
              <w:t xml:space="preserve">nepriekaištingos reputacijos reikalavimo </w:t>
            </w:r>
            <w:r w:rsidR="0029694C" w:rsidRPr="005A6B7D">
              <w:rPr>
                <w:iCs/>
              </w:rPr>
              <w:t xml:space="preserve">tikrinimo mechanizmo, gali būti </w:t>
            </w:r>
            <w:r w:rsidR="0029694C">
              <w:rPr>
                <w:iCs/>
              </w:rPr>
              <w:t xml:space="preserve">laiku </w:t>
            </w:r>
            <w:r w:rsidR="0029694C" w:rsidRPr="005A6B7D">
              <w:rPr>
                <w:iCs/>
              </w:rPr>
              <w:t>neidentifikuojami asmenys ar įmonės, kurie</w:t>
            </w:r>
            <w:r w:rsidR="0029694C">
              <w:rPr>
                <w:iCs/>
              </w:rPr>
              <w:t xml:space="preserve"> po licencijos išdavimo</w:t>
            </w:r>
            <w:r w:rsidR="0029694C" w:rsidRPr="005A6B7D">
              <w:rPr>
                <w:iCs/>
              </w:rPr>
              <w:t xml:space="preserve"> tampa neatitinkantys nepriekaištingos reputacijos reikalavimo.</w:t>
            </w:r>
            <w:r w:rsidR="0029694C">
              <w:rPr>
                <w:iCs/>
              </w:rPr>
              <w:t xml:space="preserve"> D</w:t>
            </w:r>
            <w:r w:rsidR="0029694C" w:rsidRPr="005A6B7D">
              <w:rPr>
                <w:iCs/>
              </w:rPr>
              <w:t>ėl</w:t>
            </w:r>
            <w:r w:rsidR="0029694C">
              <w:rPr>
                <w:iCs/>
              </w:rPr>
              <w:t xml:space="preserve"> šių</w:t>
            </w:r>
            <w:r w:rsidR="0029694C" w:rsidRPr="005A6B7D">
              <w:rPr>
                <w:iCs/>
              </w:rPr>
              <w:t xml:space="preserve"> reguliavimo spragų lošimų sektoriuje gali veikti subjektai, turintys neaiškią reputaciją ar ryšius su neskaidria veikla, </w:t>
            </w:r>
            <w:r w:rsidR="0029694C">
              <w:rPr>
                <w:iCs/>
              </w:rPr>
              <w:t>tuo pačiu kyla</w:t>
            </w:r>
            <w:r w:rsidR="0029694C" w:rsidRPr="005A6B7D">
              <w:rPr>
                <w:iCs/>
              </w:rPr>
              <w:t xml:space="preserve"> lošėjų teisių pažeidim</w:t>
            </w:r>
            <w:r w:rsidR="0029694C">
              <w:rPr>
                <w:iCs/>
              </w:rPr>
              <w:t>ų rizika.</w:t>
            </w:r>
          </w:p>
        </w:tc>
        <w:tc>
          <w:tcPr>
            <w:tcW w:w="2747" w:type="dxa"/>
          </w:tcPr>
          <w:p w14:paraId="76594D7F" w14:textId="77777777" w:rsidR="00F347D7" w:rsidRPr="00F347D7" w:rsidRDefault="00F347D7" w:rsidP="0041058B">
            <w:pPr>
              <w:widowControl w:val="0"/>
              <w:spacing w:before="120" w:after="120"/>
              <w:jc w:val="both"/>
              <w:rPr>
                <w:b/>
                <w:bCs/>
              </w:rPr>
            </w:pPr>
            <w:r w:rsidRPr="00F347D7">
              <w:rPr>
                <w:b/>
                <w:bCs/>
              </w:rPr>
              <w:t>Priežiūros tarnybai:</w:t>
            </w:r>
          </w:p>
          <w:p w14:paraId="663A01AA" w14:textId="0DAA73AD" w:rsidR="0037500E" w:rsidRPr="002B3452" w:rsidRDefault="000F1D1A" w:rsidP="00F347D7">
            <w:pPr>
              <w:widowControl w:val="0"/>
              <w:jc w:val="both"/>
              <w:rPr>
                <w:snapToGrid w:val="0"/>
              </w:rPr>
            </w:pPr>
            <w:r>
              <w:t xml:space="preserve">6.2.1. </w:t>
            </w:r>
            <w:r w:rsidR="0029694C" w:rsidRPr="00995CDB">
              <w:t>Siekdami sumažinti galimybę selektyviai taikyti reguliavimą bei užtikrinti lošimo rinkos dalyvių sąžiningos konkurencijos sąlygas, siūlome</w:t>
            </w:r>
            <w:r w:rsidR="0029694C">
              <w:t xml:space="preserve">  </w:t>
            </w:r>
            <w:r w:rsidR="0029694C" w:rsidRPr="0051270E">
              <w:t>nustatyti vieningą nepriekaištingos reputacijos tikrinimo procedūrą, kuri būtų objektyvi, skaidri ir nepriklausoma nuo subjektyvių įstaigos sprendimų bei vykdoma nustatytu periodiškumu, kuris leistų laiku identifikuoti reikalavimo neatitinkančius subjektus</w:t>
            </w:r>
            <w:r w:rsidR="0029694C">
              <w:t>.</w:t>
            </w:r>
          </w:p>
        </w:tc>
        <w:tc>
          <w:tcPr>
            <w:tcW w:w="6050" w:type="dxa"/>
          </w:tcPr>
          <w:p w14:paraId="5A5EC7F9" w14:textId="61B601B1" w:rsidR="0037500E" w:rsidRPr="00437CE1" w:rsidRDefault="00B62D39" w:rsidP="00294683">
            <w:pPr>
              <w:widowControl w:val="0"/>
              <w:spacing w:before="120"/>
              <w:jc w:val="both"/>
            </w:pPr>
            <w:r>
              <w:rPr>
                <w:snapToGrid w:val="0"/>
              </w:rPr>
              <w:t>Parengt</w:t>
            </w:r>
            <w:r w:rsidR="00411D67">
              <w:rPr>
                <w:snapToGrid w:val="0"/>
              </w:rPr>
              <w:t xml:space="preserve">as </w:t>
            </w:r>
            <w:r w:rsidR="00411D67" w:rsidRPr="00522677">
              <w:rPr>
                <w:rFonts w:asciiTheme="majorBidi" w:hAnsiTheme="majorBidi" w:cstheme="majorBidi"/>
              </w:rPr>
              <w:t>Ūkio subjektų, organizuojančių azartinius lošimus, didžiąsias, mažąsias loterijas ir žaidimus žaidimo automatais patikrinimo taisykl</w:t>
            </w:r>
            <w:r w:rsidR="00411D67">
              <w:rPr>
                <w:rFonts w:asciiTheme="majorBidi" w:hAnsiTheme="majorBidi" w:cstheme="majorBidi"/>
              </w:rPr>
              <w:t>ių</w:t>
            </w:r>
            <w:r w:rsidR="00411D67" w:rsidRPr="00522677">
              <w:rPr>
                <w:rFonts w:asciiTheme="majorBidi" w:hAnsiTheme="majorBidi" w:cstheme="majorBidi"/>
              </w:rPr>
              <w:t>, patvirtint</w:t>
            </w:r>
            <w:r w:rsidR="00411D67">
              <w:rPr>
                <w:rFonts w:asciiTheme="majorBidi" w:hAnsiTheme="majorBidi" w:cstheme="majorBidi"/>
              </w:rPr>
              <w:t>ų</w:t>
            </w:r>
            <w:r w:rsidR="00411D67" w:rsidRPr="00522677">
              <w:rPr>
                <w:rFonts w:asciiTheme="majorBidi" w:hAnsiTheme="majorBidi" w:cstheme="majorBidi"/>
              </w:rPr>
              <w:t xml:space="preserve"> Lošimų priežiūros tarnybos</w:t>
            </w:r>
            <w:r w:rsidR="00411D67">
              <w:rPr>
                <w:rFonts w:asciiTheme="majorBidi" w:hAnsiTheme="majorBidi" w:cstheme="majorBidi"/>
              </w:rPr>
              <w:t xml:space="preserve"> prie Lietuvos Respublikos finansų ministerijos</w:t>
            </w:r>
            <w:r w:rsidR="00D95FFF">
              <w:rPr>
                <w:rFonts w:asciiTheme="majorBidi" w:hAnsiTheme="majorBidi" w:cstheme="majorBidi"/>
              </w:rPr>
              <w:t xml:space="preserve"> (toliau – Priežiūros tarnyba)</w:t>
            </w:r>
            <w:r w:rsidR="00411D67" w:rsidRPr="00522677">
              <w:rPr>
                <w:rFonts w:asciiTheme="majorBidi" w:hAnsiTheme="majorBidi" w:cstheme="majorBidi"/>
              </w:rPr>
              <w:t xml:space="preserve"> direktoriaus 2020 m. spalio 28 d. įsakymu Nr. DIE-803 ,,Dėl Ūkio subjektų, organizuojančių azartinius lošimus, didžiąsias, mažąsias loterijas ir žaidimus žaidimo automatais patikrinimo taisyklių patvirtinimo“ </w:t>
            </w:r>
            <w:r w:rsidR="00411D67">
              <w:rPr>
                <w:rFonts w:asciiTheme="majorBidi" w:hAnsiTheme="majorBidi" w:cstheme="majorBidi"/>
              </w:rPr>
              <w:t xml:space="preserve">pakeitimo projektas dėl nurodytų taisyklių papildymo </w:t>
            </w:r>
            <w:r w:rsidR="00411D67">
              <w:rPr>
                <w:snapToGrid w:val="0"/>
              </w:rPr>
              <w:t>a</w:t>
            </w:r>
            <w:r>
              <w:rPr>
                <w:snapToGrid w:val="0"/>
              </w:rPr>
              <w:t xml:space="preserve">zartinius lošimus </w:t>
            </w:r>
            <w:r w:rsidR="00411D67">
              <w:rPr>
                <w:snapToGrid w:val="0"/>
              </w:rPr>
              <w:t xml:space="preserve">ir loterijas </w:t>
            </w:r>
            <w:r>
              <w:rPr>
                <w:snapToGrid w:val="0"/>
              </w:rPr>
              <w:t>organizuojančių bendrovių nepriekaištingos reputacijos tikrinimo tvark</w:t>
            </w:r>
            <w:r w:rsidR="00411D67">
              <w:rPr>
                <w:snapToGrid w:val="0"/>
              </w:rPr>
              <w:t>a</w:t>
            </w:r>
            <w:r>
              <w:rPr>
                <w:snapToGrid w:val="0"/>
              </w:rPr>
              <w:t xml:space="preserve">, </w:t>
            </w:r>
            <w:r w:rsidR="00411D67">
              <w:rPr>
                <w:snapToGrid w:val="0"/>
              </w:rPr>
              <w:t>kurioje</w:t>
            </w:r>
            <w:r w:rsidR="00D95FFF">
              <w:rPr>
                <w:snapToGrid w:val="0"/>
              </w:rPr>
              <w:t xml:space="preserve"> </w:t>
            </w:r>
            <w:r>
              <w:rPr>
                <w:snapToGrid w:val="0"/>
              </w:rPr>
              <w:t xml:space="preserve">nustatyta </w:t>
            </w:r>
            <w:r w:rsidRPr="0051270E">
              <w:t>viening</w:t>
            </w:r>
            <w:r>
              <w:t>a,</w:t>
            </w:r>
            <w:r w:rsidRPr="0051270E">
              <w:t xml:space="preserve"> objektyvi</w:t>
            </w:r>
            <w:r>
              <w:t xml:space="preserve"> ir</w:t>
            </w:r>
            <w:r w:rsidRPr="0051270E">
              <w:t xml:space="preserve"> skaidri</w:t>
            </w:r>
            <w:r>
              <w:t xml:space="preserve"> lošimų organizatorių </w:t>
            </w:r>
            <w:r w:rsidRPr="0051270E">
              <w:t>nepriekaištingos reputacijos tikrinimo procedūr</w:t>
            </w:r>
            <w:r>
              <w:t>a</w:t>
            </w:r>
            <w:r w:rsidRPr="0051270E">
              <w:t>, vykdoma nustatytu periodiškumu, kuris leistų laiku identifikuoti reikalavimo neatitinkančius subjektus</w:t>
            </w:r>
            <w:r w:rsidR="00411D67">
              <w:t xml:space="preserve"> (toliau – Projektas</w:t>
            </w:r>
            <w:r w:rsidR="009B4940">
              <w:t xml:space="preserve"> Nr. 1</w:t>
            </w:r>
            <w:r w:rsidR="00411D67">
              <w:t>)</w:t>
            </w:r>
            <w:r>
              <w:t>.</w:t>
            </w:r>
            <w:r w:rsidR="00411D67">
              <w:t xml:space="preserve"> </w:t>
            </w:r>
            <w:r w:rsidR="00E42E8C" w:rsidRPr="00437CE1">
              <w:t xml:space="preserve">Projektas </w:t>
            </w:r>
            <w:r w:rsidR="009B4940" w:rsidRPr="00437CE1">
              <w:t xml:space="preserve">Nr. 1 </w:t>
            </w:r>
            <w:r w:rsidR="00E42E8C" w:rsidRPr="00437CE1">
              <w:t>patalpintas T</w:t>
            </w:r>
            <w:r w:rsidR="00437CE1">
              <w:t>eisės aktų informacinėje sistemoje (T</w:t>
            </w:r>
            <w:r w:rsidR="00E42E8C" w:rsidRPr="00437CE1">
              <w:t>AIS</w:t>
            </w:r>
            <w:r w:rsidR="00437CE1">
              <w:t xml:space="preserve">) </w:t>
            </w:r>
            <w:hyperlink r:id="rId13" w:history="1">
              <w:r w:rsidR="00437CE1" w:rsidRPr="00291A1F">
                <w:rPr>
                  <w:rStyle w:val="Hipersaitas"/>
                </w:rPr>
                <w:t>https://e-seimas.lrs.lt/portal/legalAct/lt/TAP/1205ff8258a011f0a19dcea0bcc863ad</w:t>
              </w:r>
            </w:hyperlink>
            <w:r w:rsidR="00437CE1">
              <w:t xml:space="preserve">. </w:t>
            </w:r>
          </w:p>
        </w:tc>
        <w:tc>
          <w:tcPr>
            <w:tcW w:w="2945" w:type="dxa"/>
          </w:tcPr>
          <w:p w14:paraId="6C2ADD3B" w14:textId="5BB3EB8F" w:rsidR="0037500E" w:rsidRPr="00BE7B44" w:rsidRDefault="006F7F5E" w:rsidP="00294683">
            <w:pPr>
              <w:widowControl w:val="0"/>
              <w:spacing w:before="120"/>
              <w:rPr>
                <w:b/>
                <w:bCs/>
                <w:snapToGrid w:val="0"/>
                <w:color w:val="00B050"/>
              </w:rPr>
            </w:pPr>
            <w:r w:rsidRPr="00BE7B44">
              <w:rPr>
                <w:b/>
                <w:bCs/>
                <w:snapToGrid w:val="0"/>
                <w:color w:val="00B050"/>
              </w:rPr>
              <w:t>Pasiūlymas į</w:t>
            </w:r>
            <w:r w:rsidR="00660FEA" w:rsidRPr="00BE7B44">
              <w:rPr>
                <w:b/>
                <w:bCs/>
                <w:snapToGrid w:val="0"/>
                <w:color w:val="00B050"/>
              </w:rPr>
              <w:t>gyvendin</w:t>
            </w:r>
            <w:r w:rsidR="00BE7B44" w:rsidRPr="00BE7B44">
              <w:rPr>
                <w:b/>
                <w:bCs/>
                <w:snapToGrid w:val="0"/>
                <w:color w:val="00B050"/>
              </w:rPr>
              <w:t>t</w:t>
            </w:r>
            <w:r w:rsidR="00660FEA" w:rsidRPr="00BE7B44">
              <w:rPr>
                <w:b/>
                <w:bCs/>
                <w:snapToGrid w:val="0"/>
                <w:color w:val="00B050"/>
              </w:rPr>
              <w:t>a</w:t>
            </w:r>
            <w:r w:rsidRPr="00BE7B44">
              <w:rPr>
                <w:b/>
                <w:bCs/>
                <w:snapToGrid w:val="0"/>
                <w:color w:val="00B050"/>
              </w:rPr>
              <w:t>s</w:t>
            </w:r>
          </w:p>
          <w:p w14:paraId="012A86E9" w14:textId="544A0436" w:rsidR="00F21B9C" w:rsidRPr="00B915E0" w:rsidRDefault="00B915E0" w:rsidP="00B915E0">
            <w:pPr>
              <w:widowControl w:val="0"/>
              <w:jc w:val="both"/>
              <w:rPr>
                <w:snapToGrid w:val="0"/>
              </w:rPr>
            </w:pPr>
            <w:r w:rsidRPr="00B915E0">
              <w:rPr>
                <w:snapToGrid w:val="0"/>
              </w:rPr>
              <w:t>Ūkio subjektų, organizuojančių azartinius lošimus, didžiąsias, mažąsias loterijas ir žaidimus žaidimo automatais patikrinimo taisyklės</w:t>
            </w:r>
            <w:r>
              <w:rPr>
                <w:snapToGrid w:val="0"/>
              </w:rPr>
              <w:t xml:space="preserve"> (patvirtintos P</w:t>
            </w:r>
            <w:r w:rsidRPr="00B915E0">
              <w:rPr>
                <w:snapToGrid w:val="0"/>
              </w:rPr>
              <w:t>riežiūros tarnybos direktoriaus</w:t>
            </w:r>
            <w:r>
              <w:rPr>
                <w:snapToGrid w:val="0"/>
              </w:rPr>
              <w:t xml:space="preserve"> 2020-10-28</w:t>
            </w:r>
            <w:r w:rsidRPr="00B915E0">
              <w:rPr>
                <w:snapToGrid w:val="0"/>
              </w:rPr>
              <w:t xml:space="preserve"> įsakymu Nr. DIE-803</w:t>
            </w:r>
            <w:r>
              <w:rPr>
                <w:snapToGrid w:val="0"/>
              </w:rPr>
              <w:t>)</w:t>
            </w:r>
            <w:r w:rsidRPr="00B915E0">
              <w:rPr>
                <w:snapToGrid w:val="0"/>
              </w:rPr>
              <w:t xml:space="preserve"> papildytos 42(1) straipsniu, kuriame reglamentuotas nepriekaištingos reputacijos tikrinimo periodiškumas </w:t>
            </w:r>
            <w:r>
              <w:rPr>
                <w:snapToGrid w:val="0"/>
              </w:rPr>
              <w:t>(</w:t>
            </w:r>
            <w:r w:rsidRPr="00B915E0">
              <w:rPr>
                <w:snapToGrid w:val="0"/>
              </w:rPr>
              <w:t>numatyta jį atlikti kiekvieno planinio patikrinimo metu</w:t>
            </w:r>
            <w:r>
              <w:rPr>
                <w:snapToGrid w:val="0"/>
              </w:rPr>
              <w:t>)</w:t>
            </w:r>
            <w:r w:rsidRPr="00B915E0">
              <w:rPr>
                <w:snapToGrid w:val="0"/>
              </w:rPr>
              <w:t xml:space="preserve"> ir apimtis.</w:t>
            </w:r>
            <w:r w:rsidR="005C7212">
              <w:rPr>
                <w:snapToGrid w:val="0"/>
              </w:rPr>
              <w:t xml:space="preserve"> Pakeitimai įsigaliojo 2025-07-26.</w:t>
            </w:r>
          </w:p>
        </w:tc>
      </w:tr>
      <w:tr w:rsidR="00B5086B" w:rsidRPr="002B3452" w14:paraId="1EE01804" w14:textId="77777777" w:rsidTr="009F0C4F">
        <w:tc>
          <w:tcPr>
            <w:tcW w:w="2680" w:type="dxa"/>
          </w:tcPr>
          <w:p w14:paraId="12CFDEA8" w14:textId="31E9AF94" w:rsidR="00B5086B" w:rsidRPr="00490374" w:rsidRDefault="00B5086B" w:rsidP="00E0725B">
            <w:pPr>
              <w:widowControl w:val="0"/>
              <w:spacing w:before="120" w:after="120"/>
              <w:jc w:val="both"/>
            </w:pPr>
            <w:r>
              <w:lastRenderedPageBreak/>
              <w:t xml:space="preserve">5.1.3. </w:t>
            </w:r>
            <w:r w:rsidR="00E0725B">
              <w:t>Neapibrėžta lošimo reglamentų tvirtinimo ir keitimo tvarka kelia subjektyvaus sprendimų priėmimo, procedūros vilkinimo bei nenuoseklaus taikymo riziką, taip pat didina administracinę naštą tiek Priežiūros tarnybai, tiek lošimus organizuojantiems ūkio subjektams.</w:t>
            </w:r>
          </w:p>
        </w:tc>
        <w:tc>
          <w:tcPr>
            <w:tcW w:w="2747" w:type="dxa"/>
          </w:tcPr>
          <w:p w14:paraId="1C10D308" w14:textId="3A0D9AF6" w:rsidR="00BC0C44" w:rsidRPr="00BC0C44" w:rsidRDefault="00BC0C44" w:rsidP="000B4322">
            <w:pPr>
              <w:widowControl w:val="0"/>
              <w:spacing w:before="120"/>
              <w:jc w:val="both"/>
              <w:rPr>
                <w:b/>
                <w:bCs/>
              </w:rPr>
            </w:pPr>
            <w:r w:rsidRPr="00195AA5">
              <w:rPr>
                <w:b/>
                <w:bCs/>
              </w:rPr>
              <w:t>Finansų ministerijai</w:t>
            </w:r>
            <w:r>
              <w:rPr>
                <w:b/>
                <w:bCs/>
              </w:rPr>
              <w:t>:</w:t>
            </w:r>
          </w:p>
          <w:p w14:paraId="4B9D96B1" w14:textId="7E130DB1" w:rsidR="00B5086B" w:rsidRDefault="0093755D" w:rsidP="00B55B17">
            <w:pPr>
              <w:spacing w:after="120"/>
              <w:jc w:val="both"/>
            </w:pPr>
            <w:r>
              <w:t xml:space="preserve">6.1.2. </w:t>
            </w:r>
            <w:r w:rsidR="00BC0C44">
              <w:t xml:space="preserve">Siekdami užtikrinti skaidrumą, teisinį aiškumą ir vienodą lošimo reglamentų tvirtinimo praktiką, siūlome teisės aktuose įtvirtinti lošimo reglamentų tvirtinimo procedūrą. Ji turėtų apimti aiškiai nustatytus vertinimo kriterijus, konkrečius terminus, reglamentų netvirtinimo pagrindus bei keitimo ar papildymo tvarką. Toks teisinis reguliavimas eliminuotų perteklinę Priežiūros tarnybos </w:t>
            </w:r>
            <w:proofErr w:type="spellStart"/>
            <w:r w:rsidR="00BC0C44">
              <w:t>diskreciją</w:t>
            </w:r>
            <w:proofErr w:type="spellEnd"/>
            <w:r w:rsidR="00BC0C44">
              <w:t>, užtikrintų didesnį administracinės paslaugos skaidrumą bei sumažintų administracinę naštą tiek priežiūros institucijai, tiek ūkio subjektams.</w:t>
            </w:r>
          </w:p>
        </w:tc>
        <w:tc>
          <w:tcPr>
            <w:tcW w:w="6050" w:type="dxa"/>
          </w:tcPr>
          <w:p w14:paraId="61872101" w14:textId="758C1751" w:rsidR="00316566" w:rsidRPr="00316566" w:rsidRDefault="002F2B27" w:rsidP="00316566">
            <w:pPr>
              <w:widowControl w:val="0"/>
              <w:spacing w:before="120" w:after="120"/>
              <w:jc w:val="both"/>
              <w:rPr>
                <w:snapToGrid w:val="0"/>
              </w:rPr>
            </w:pPr>
            <w:r>
              <w:rPr>
                <w:snapToGrid w:val="0"/>
              </w:rPr>
              <w:t xml:space="preserve">Rengiamu </w:t>
            </w:r>
            <w:r w:rsidR="00316566" w:rsidRPr="00316566">
              <w:rPr>
                <w:snapToGrid w:val="0"/>
              </w:rPr>
              <w:t>Įstatymo projektu siūloma nustatyti, kad lošimo reglamentą sudarytų bendroji dalis, kurios nuostatas nustatytų Priežiūros tarnyba pagal įstatyme įtvirtintus reikalavimus, ir nustatytos lošimų taisyklės, kurias rengia lošimų organizatoriai bei teikia tvirtinti Priežiūros tarnybai. Taip pat nustatyti aiškūs reglamento netvirtinimo pagrindai bei papildymo ir keitimo tvarka.</w:t>
            </w:r>
          </w:p>
          <w:p w14:paraId="77AADEF6" w14:textId="1809FFE7" w:rsidR="00B5086B" w:rsidRDefault="00316566" w:rsidP="00316566">
            <w:pPr>
              <w:widowControl w:val="0"/>
              <w:spacing w:before="120" w:after="120"/>
              <w:jc w:val="both"/>
              <w:rPr>
                <w:snapToGrid w:val="0"/>
              </w:rPr>
            </w:pPr>
            <w:r w:rsidRPr="00316566">
              <w:rPr>
                <w:snapToGrid w:val="0"/>
              </w:rPr>
              <w:t>Planuojama Įstatymo projektą teikti svarstyti Lietuvos Respublikos Seimui 2026 m. pavasario sesijoje.</w:t>
            </w:r>
          </w:p>
        </w:tc>
        <w:tc>
          <w:tcPr>
            <w:tcW w:w="2945" w:type="dxa"/>
          </w:tcPr>
          <w:p w14:paraId="71387B53" w14:textId="7582EF89" w:rsidR="00B5086B" w:rsidRPr="007B33C2" w:rsidRDefault="00D814A8" w:rsidP="0016384C">
            <w:pPr>
              <w:widowControl w:val="0"/>
              <w:spacing w:before="120" w:after="120"/>
              <w:rPr>
                <w:b/>
                <w:bCs/>
                <w:snapToGrid w:val="0"/>
              </w:rPr>
            </w:pPr>
            <w:r>
              <w:rPr>
                <w:b/>
                <w:bCs/>
                <w:snapToGrid w:val="0"/>
                <w:color w:val="2E74B5" w:themeColor="accent1" w:themeShade="BF"/>
              </w:rPr>
              <w:t>Pasiūlymas į</w:t>
            </w:r>
            <w:r w:rsidR="007B33C2" w:rsidRPr="007B33C2">
              <w:rPr>
                <w:b/>
                <w:bCs/>
                <w:snapToGrid w:val="0"/>
                <w:color w:val="2E74B5" w:themeColor="accent1" w:themeShade="BF"/>
              </w:rPr>
              <w:t>gyvendinama</w:t>
            </w:r>
            <w:r>
              <w:rPr>
                <w:b/>
                <w:bCs/>
                <w:snapToGrid w:val="0"/>
                <w:color w:val="2E74B5" w:themeColor="accent1" w:themeShade="BF"/>
              </w:rPr>
              <w:t>s</w:t>
            </w:r>
          </w:p>
        </w:tc>
      </w:tr>
      <w:tr w:rsidR="00621BA2" w:rsidRPr="002B3452" w14:paraId="2315B571" w14:textId="77777777" w:rsidTr="009F0C4F">
        <w:tc>
          <w:tcPr>
            <w:tcW w:w="2680" w:type="dxa"/>
          </w:tcPr>
          <w:p w14:paraId="6FBF5C1E" w14:textId="60DB4365" w:rsidR="00621BA2" w:rsidRPr="00490374" w:rsidRDefault="00621BA2" w:rsidP="00D64FB2">
            <w:pPr>
              <w:widowControl w:val="0"/>
              <w:spacing w:before="120" w:after="120"/>
              <w:jc w:val="both"/>
            </w:pPr>
            <w:r>
              <w:t xml:space="preserve">5.1.4. </w:t>
            </w:r>
            <w:r w:rsidRPr="00621BA2">
              <w:t xml:space="preserve">ALĮ pateiktas nuotolinio lošimo apibrėžimas yra nepakankamas ir teisiškai neapibrėžtas, jame nedetalizuotos visos nuotolinio lošimo rūšys. Dėl šios spragos </w:t>
            </w:r>
            <w:r w:rsidRPr="00621BA2">
              <w:lastRenderedPageBreak/>
              <w:t>Priežiūros tarnyba poįstatyminiuose teisės aktuose savarankiškai nustato, keičia ir formuluoja nuotolinio lošimo rūšis, įskaitant tokias, kurios ALĮ apskritai nenurodytos (nuotoliniai stalo lošimai gyvai). Reguliavimo spragos leidžia subjektyviai interpretuoti lošimų rūšis, kas gali lemti neskaidrų sprendimų priėmimą, lošimo bendrovių nevienodą traktavimą ar net protekcionizmo riziką. Nesant aiškios metodikos, kaip tam tikri lošimai turėtų būti priskirti konkrečiai lošimų rūšiai, lošimo bendrovių veiklos ir jų siūlomų lošimų vertinimas gali būti subjektyvus ir nepakankamai pagrįstas</w:t>
            </w:r>
            <w:r>
              <w:t>.</w:t>
            </w:r>
          </w:p>
        </w:tc>
        <w:tc>
          <w:tcPr>
            <w:tcW w:w="2747" w:type="dxa"/>
          </w:tcPr>
          <w:p w14:paraId="57974D89" w14:textId="77777777" w:rsidR="00621BA2" w:rsidRPr="003E60FD" w:rsidRDefault="003E60FD" w:rsidP="00D64FB2">
            <w:pPr>
              <w:spacing w:before="120" w:after="120"/>
              <w:jc w:val="both"/>
              <w:rPr>
                <w:b/>
                <w:bCs/>
              </w:rPr>
            </w:pPr>
            <w:r w:rsidRPr="003E60FD">
              <w:rPr>
                <w:b/>
                <w:bCs/>
              </w:rPr>
              <w:lastRenderedPageBreak/>
              <w:t>Finansų ministerijai:</w:t>
            </w:r>
          </w:p>
          <w:p w14:paraId="1B3DD693" w14:textId="4C90E983" w:rsidR="003E60FD" w:rsidRDefault="003E60FD" w:rsidP="00D64FB2">
            <w:pPr>
              <w:spacing w:after="120"/>
              <w:jc w:val="both"/>
            </w:pPr>
            <w:r>
              <w:t xml:space="preserve">6.1.3. </w:t>
            </w:r>
            <w:r w:rsidRPr="004B4EFA">
              <w:t>Siekdami skaidresnės, veiksmingesnės ir sąžiningesnės lošimų rinkos reguliavimo aplinkos, siūlome</w:t>
            </w:r>
            <w:r>
              <w:t xml:space="preserve"> </w:t>
            </w:r>
            <w:r w:rsidRPr="006E71BF">
              <w:rPr>
                <w:rStyle w:val="Grietas"/>
                <w:b w:val="0"/>
                <w:bCs w:val="0"/>
              </w:rPr>
              <w:t xml:space="preserve">mažinti reguliavimo </w:t>
            </w:r>
            <w:r w:rsidRPr="006E71BF">
              <w:rPr>
                <w:rStyle w:val="Grietas"/>
                <w:b w:val="0"/>
                <w:bCs w:val="0"/>
              </w:rPr>
              <w:lastRenderedPageBreak/>
              <w:t>neapibrėžtumą</w:t>
            </w:r>
            <w:r w:rsidRPr="006E71BF">
              <w:rPr>
                <w:b/>
                <w:bCs/>
              </w:rPr>
              <w:t>,</w:t>
            </w:r>
            <w:r w:rsidRPr="00AF6FAF">
              <w:t xml:space="preserve"> kuris sudaro sąlygas subjektyviam lošimų priskyrimui skirtingoms kategorijoms ir galimam rinkos dalyvių nelygiavertiškumui, detalizuojant ALĮ įtvirtintą nuotolinio lošimo sąvoką, išvardinant visas nuotolinio lošimo rūšis, pateikiant jų apibrėžimus ir požymius, leidžiančius objektyviai atskirti vienas lošimo rūšis nuo kitų</w:t>
            </w:r>
            <w:r w:rsidR="00205F89">
              <w:t>.</w:t>
            </w:r>
          </w:p>
        </w:tc>
        <w:tc>
          <w:tcPr>
            <w:tcW w:w="6050" w:type="dxa"/>
          </w:tcPr>
          <w:p w14:paraId="6D41A648" w14:textId="5FAEF04D" w:rsidR="008C785D" w:rsidRPr="008C785D" w:rsidRDefault="0094515A" w:rsidP="008C785D">
            <w:pPr>
              <w:widowControl w:val="0"/>
              <w:spacing w:before="120"/>
              <w:jc w:val="both"/>
              <w:rPr>
                <w:snapToGrid w:val="0"/>
              </w:rPr>
            </w:pPr>
            <w:r>
              <w:rPr>
                <w:snapToGrid w:val="0"/>
              </w:rPr>
              <w:lastRenderedPageBreak/>
              <w:t xml:space="preserve">Rengiamu </w:t>
            </w:r>
            <w:r w:rsidR="008C785D" w:rsidRPr="008C785D">
              <w:rPr>
                <w:snapToGrid w:val="0"/>
              </w:rPr>
              <w:t>Įstatymo projektu siūloma detalizuoti nuotolinio lošimo sąvoką, išskiriant visas nuotolinio lošimo rūšis ir pateikiant kiekvienos jų apibrėžtis.</w:t>
            </w:r>
          </w:p>
          <w:p w14:paraId="2E5D79A1" w14:textId="0A9508A1" w:rsidR="00621BA2" w:rsidRDefault="008C785D" w:rsidP="008C785D">
            <w:pPr>
              <w:widowControl w:val="0"/>
              <w:spacing w:before="120"/>
              <w:jc w:val="both"/>
              <w:rPr>
                <w:snapToGrid w:val="0"/>
              </w:rPr>
            </w:pPr>
            <w:r w:rsidRPr="008C785D">
              <w:rPr>
                <w:snapToGrid w:val="0"/>
              </w:rPr>
              <w:t>Planuojama Įstatymo projektą teikti svarstyti Lietuvos Respublikos Seimui 2026 m. pavasario sesijoje.</w:t>
            </w:r>
          </w:p>
        </w:tc>
        <w:tc>
          <w:tcPr>
            <w:tcW w:w="2945" w:type="dxa"/>
          </w:tcPr>
          <w:p w14:paraId="530FE01E" w14:textId="37F2DC0F" w:rsidR="00621BA2" w:rsidRPr="00DC43D2" w:rsidRDefault="00D814A8" w:rsidP="003E60FD">
            <w:pPr>
              <w:widowControl w:val="0"/>
              <w:spacing w:before="120"/>
              <w:rPr>
                <w:b/>
                <w:bCs/>
                <w:snapToGrid w:val="0"/>
              </w:rPr>
            </w:pPr>
            <w:r>
              <w:rPr>
                <w:b/>
                <w:bCs/>
                <w:snapToGrid w:val="0"/>
                <w:color w:val="2E74B5" w:themeColor="accent1" w:themeShade="BF"/>
              </w:rPr>
              <w:t>Pasiūlymas į</w:t>
            </w:r>
            <w:r w:rsidRPr="007B33C2">
              <w:rPr>
                <w:b/>
                <w:bCs/>
                <w:snapToGrid w:val="0"/>
                <w:color w:val="2E74B5" w:themeColor="accent1" w:themeShade="BF"/>
              </w:rPr>
              <w:t>gyvendinama</w:t>
            </w:r>
            <w:r>
              <w:rPr>
                <w:b/>
                <w:bCs/>
                <w:snapToGrid w:val="0"/>
                <w:color w:val="2E74B5" w:themeColor="accent1" w:themeShade="BF"/>
              </w:rPr>
              <w:t>s</w:t>
            </w:r>
          </w:p>
        </w:tc>
      </w:tr>
      <w:tr w:rsidR="00F12257" w:rsidRPr="002B3452" w14:paraId="05AD39AB" w14:textId="77777777" w:rsidTr="009F0C4F">
        <w:tc>
          <w:tcPr>
            <w:tcW w:w="2680" w:type="dxa"/>
            <w:vMerge w:val="restart"/>
          </w:tcPr>
          <w:p w14:paraId="1A79FA58" w14:textId="430CB17A" w:rsidR="00F12257" w:rsidRDefault="00F12257" w:rsidP="00D64FB2">
            <w:pPr>
              <w:widowControl w:val="0"/>
              <w:spacing w:before="120" w:after="120"/>
              <w:jc w:val="both"/>
            </w:pPr>
            <w:r>
              <w:t xml:space="preserve">5.1.5. </w:t>
            </w:r>
            <w:r w:rsidRPr="009F4B4C">
              <w:t>Priežiūros tarnybos</w:t>
            </w:r>
            <w:r>
              <w:t xml:space="preserve"> sprendimai</w:t>
            </w:r>
            <w:r w:rsidRPr="009F4B4C">
              <w:t xml:space="preserve"> išduoti leidim</w:t>
            </w:r>
            <w:r>
              <w:t>us</w:t>
            </w:r>
            <w:r w:rsidRPr="009F4B4C">
              <w:t xml:space="preserve"> atidaryti lošimo automatų salonus ir (ar) </w:t>
            </w:r>
            <w:r>
              <w:t xml:space="preserve">steigti </w:t>
            </w:r>
            <w:r w:rsidRPr="009F4B4C">
              <w:t xml:space="preserve">lošimo namus </w:t>
            </w:r>
            <w:r w:rsidRPr="009F4B4C">
              <w:lastRenderedPageBreak/>
              <w:t xml:space="preserve">(kazino) prekybos centruose, galimai, prieštarauja ALĮ 10 straipsnio 2 dalies 15 punktui, kuris nustato </w:t>
            </w:r>
            <w:r>
              <w:t xml:space="preserve">apribojimus </w:t>
            </w:r>
            <w:r w:rsidRPr="009F4B4C">
              <w:t xml:space="preserve">lošimų organizavimo </w:t>
            </w:r>
            <w:r>
              <w:t>vietoms</w:t>
            </w:r>
            <w:r w:rsidRPr="009F4B4C">
              <w:t xml:space="preserve">. </w:t>
            </w:r>
            <w:r>
              <w:t>Jais</w:t>
            </w:r>
            <w:r w:rsidRPr="009F4B4C">
              <w:t xml:space="preserve"> siekiama mažinti lošimų prieinamumą bei apsaugoti socialiai pažeidžiamas grupes, įskaitant nepilnamečius ar priklausomybių turinčius asmenis. Minėtų Priežiūros tarnybos sprendimų teisėtumo trūkumas kelia neformalių susitarimų ir galimo neskaidraus leidimų išdavimo riziką</w:t>
            </w:r>
            <w:r>
              <w:t>.</w:t>
            </w:r>
          </w:p>
        </w:tc>
        <w:tc>
          <w:tcPr>
            <w:tcW w:w="2747" w:type="dxa"/>
          </w:tcPr>
          <w:p w14:paraId="2D8D94B0" w14:textId="77777777" w:rsidR="00F12257" w:rsidRDefault="00F12257" w:rsidP="00D64FB2">
            <w:pPr>
              <w:spacing w:before="120" w:after="120"/>
              <w:jc w:val="both"/>
              <w:rPr>
                <w:b/>
                <w:bCs/>
              </w:rPr>
            </w:pPr>
            <w:r>
              <w:rPr>
                <w:b/>
                <w:bCs/>
              </w:rPr>
              <w:lastRenderedPageBreak/>
              <w:t>Finansų ministerijai:</w:t>
            </w:r>
          </w:p>
          <w:p w14:paraId="572528F1" w14:textId="5B219B7F" w:rsidR="00F12257" w:rsidRDefault="00F12257" w:rsidP="00D64FB2">
            <w:pPr>
              <w:spacing w:before="120" w:after="120"/>
              <w:jc w:val="both"/>
            </w:pPr>
            <w:r>
              <w:t xml:space="preserve">6.1.4. </w:t>
            </w:r>
            <w:r w:rsidRPr="00BB39F6">
              <w:t xml:space="preserve">Siekdami sumažinti galimų neformalių susitarimų tikimybę ir užtikrinti, kad leidimų </w:t>
            </w:r>
            <w:r>
              <w:lastRenderedPageBreak/>
              <w:t xml:space="preserve">atidaryti ir (ar) steigti </w:t>
            </w:r>
            <w:r w:rsidRPr="00BB39F6">
              <w:t>lošimų organizavim</w:t>
            </w:r>
            <w:r>
              <w:t>o vietas</w:t>
            </w:r>
            <w:r w:rsidRPr="00BB39F6">
              <w:t xml:space="preserve"> prekybos centruose</w:t>
            </w:r>
            <w:r>
              <w:t xml:space="preserve"> išdavimas</w:t>
            </w:r>
            <w:r w:rsidRPr="00BB39F6">
              <w:t xml:space="preserve"> vyktų skaidriai ir nepažeistų viešojo intereso, siūlome</w:t>
            </w:r>
            <w:r>
              <w:t>:</w:t>
            </w:r>
          </w:p>
          <w:p w14:paraId="5485B67E" w14:textId="0E5F2577" w:rsidR="00F12257" w:rsidRPr="00CB7456" w:rsidRDefault="00F12257" w:rsidP="00D64FB2">
            <w:pPr>
              <w:spacing w:before="120" w:after="120"/>
              <w:jc w:val="both"/>
            </w:pPr>
            <w:r w:rsidRPr="00CB7456">
              <w:t>6.1.4.1</w:t>
            </w:r>
            <w:r>
              <w:t xml:space="preserve">. </w:t>
            </w:r>
            <w:r w:rsidRPr="00BB39F6">
              <w:t>įvertin</w:t>
            </w:r>
            <w:r>
              <w:t>ti</w:t>
            </w:r>
            <w:r w:rsidRPr="00BB39F6">
              <w:t>, ar Priežiūros tarnybos sprendimai dėl leidimų steigti ir (ar) atidaryti lošimų vietas prekybos centruose atitinka ALĮ 10 straipsnio 2 dalies 15 punkto reikalavimus</w:t>
            </w:r>
            <w:r>
              <w:t xml:space="preserve"> ir informuoti apie įvertinimo rezultatus STT.</w:t>
            </w:r>
          </w:p>
        </w:tc>
        <w:tc>
          <w:tcPr>
            <w:tcW w:w="6050" w:type="dxa"/>
          </w:tcPr>
          <w:p w14:paraId="28B6E647" w14:textId="76FD0A75" w:rsidR="00F12257" w:rsidRDefault="00EA107C" w:rsidP="003E60FD">
            <w:pPr>
              <w:widowControl w:val="0"/>
              <w:spacing w:before="120"/>
              <w:jc w:val="both"/>
              <w:rPr>
                <w:snapToGrid w:val="0"/>
              </w:rPr>
            </w:pPr>
            <w:r w:rsidRPr="00EA107C">
              <w:rPr>
                <w:snapToGrid w:val="0"/>
              </w:rPr>
              <w:lastRenderedPageBreak/>
              <w:t>Kreiptasi į Finansų ministerijos Centralizuoto vidaus audito skyrių su prašymu atlikti vertinimą dėl Priežiūros tarnybos priimtų sprendimų atitikties ALĮ 10 straipsnio 2 dalies 15 punkto reikalavimams.</w:t>
            </w:r>
          </w:p>
        </w:tc>
        <w:tc>
          <w:tcPr>
            <w:tcW w:w="2945" w:type="dxa"/>
          </w:tcPr>
          <w:p w14:paraId="0BACF7DB" w14:textId="0633DB65" w:rsidR="00F12257" w:rsidRPr="006B3A24" w:rsidRDefault="00D814A8" w:rsidP="003E60FD">
            <w:pPr>
              <w:widowControl w:val="0"/>
              <w:spacing w:before="120"/>
              <w:rPr>
                <w:b/>
                <w:bCs/>
                <w:snapToGrid w:val="0"/>
              </w:rPr>
            </w:pPr>
            <w:r>
              <w:rPr>
                <w:b/>
                <w:bCs/>
                <w:snapToGrid w:val="0"/>
                <w:color w:val="2E74B5" w:themeColor="accent1" w:themeShade="BF"/>
              </w:rPr>
              <w:t>Pasiūlymas į</w:t>
            </w:r>
            <w:r w:rsidRPr="006B3A24">
              <w:rPr>
                <w:b/>
                <w:bCs/>
                <w:snapToGrid w:val="0"/>
                <w:color w:val="2E74B5" w:themeColor="accent1" w:themeShade="BF"/>
              </w:rPr>
              <w:t>gyvendinama</w:t>
            </w:r>
            <w:r>
              <w:rPr>
                <w:b/>
                <w:bCs/>
                <w:snapToGrid w:val="0"/>
                <w:color w:val="2E74B5" w:themeColor="accent1" w:themeShade="BF"/>
              </w:rPr>
              <w:t>s</w:t>
            </w:r>
          </w:p>
        </w:tc>
      </w:tr>
      <w:tr w:rsidR="00F12257" w:rsidRPr="002B3452" w14:paraId="04D8B9F0" w14:textId="77777777" w:rsidTr="009F0C4F">
        <w:tc>
          <w:tcPr>
            <w:tcW w:w="2680" w:type="dxa"/>
            <w:vMerge/>
          </w:tcPr>
          <w:p w14:paraId="655FCE32" w14:textId="77777777" w:rsidR="00F12257" w:rsidRDefault="00F12257" w:rsidP="00D64FB2">
            <w:pPr>
              <w:widowControl w:val="0"/>
              <w:spacing w:before="120" w:after="120"/>
              <w:jc w:val="both"/>
            </w:pPr>
          </w:p>
        </w:tc>
        <w:tc>
          <w:tcPr>
            <w:tcW w:w="2747" w:type="dxa"/>
          </w:tcPr>
          <w:p w14:paraId="27765199" w14:textId="78D1EA13" w:rsidR="00F12257" w:rsidRPr="00375608" w:rsidRDefault="00375608" w:rsidP="00D64FB2">
            <w:pPr>
              <w:spacing w:before="120" w:after="120"/>
              <w:jc w:val="both"/>
            </w:pPr>
            <w:r w:rsidRPr="00375608">
              <w:t>6.1.4.2. ALĮ aiškiai apibrėžti sąvokas „prekybos centras“ ir „pagal projektinį išplanavimą įrengtos atskiros patalpos“.</w:t>
            </w:r>
          </w:p>
        </w:tc>
        <w:tc>
          <w:tcPr>
            <w:tcW w:w="6050" w:type="dxa"/>
          </w:tcPr>
          <w:p w14:paraId="6CDFB668" w14:textId="1492B57E" w:rsidR="004A77E8" w:rsidRPr="004A77E8" w:rsidRDefault="0094515A" w:rsidP="004A77E8">
            <w:pPr>
              <w:widowControl w:val="0"/>
              <w:spacing w:before="120"/>
              <w:jc w:val="both"/>
              <w:rPr>
                <w:snapToGrid w:val="0"/>
              </w:rPr>
            </w:pPr>
            <w:r>
              <w:rPr>
                <w:snapToGrid w:val="0"/>
              </w:rPr>
              <w:t xml:space="preserve">Rengiamu </w:t>
            </w:r>
            <w:r w:rsidR="004A77E8" w:rsidRPr="004A77E8">
              <w:rPr>
                <w:snapToGrid w:val="0"/>
              </w:rPr>
              <w:t>Įstatymo projektu siūloma apibrėžti sąvoką „</w:t>
            </w:r>
            <w:r w:rsidR="004A77E8" w:rsidRPr="0094515A">
              <w:rPr>
                <w:i/>
                <w:iCs/>
                <w:snapToGrid w:val="0"/>
              </w:rPr>
              <w:t>prekybos centras</w:t>
            </w:r>
            <w:r w:rsidR="004A77E8" w:rsidRPr="004A77E8">
              <w:rPr>
                <w:snapToGrid w:val="0"/>
              </w:rPr>
              <w:t xml:space="preserve">“, taip pat detalizuota, kas laikytina </w:t>
            </w:r>
            <w:r w:rsidR="004A77E8" w:rsidRPr="0094515A">
              <w:rPr>
                <w:i/>
                <w:iCs/>
                <w:snapToGrid w:val="0"/>
              </w:rPr>
              <w:t>pagal projektinį išplanavimą įrengtomis atskiromis patalpomis</w:t>
            </w:r>
            <w:r w:rsidR="004A77E8" w:rsidRPr="004A77E8">
              <w:rPr>
                <w:snapToGrid w:val="0"/>
              </w:rPr>
              <w:t>, nurodant konkrečius atitikimo požymius.</w:t>
            </w:r>
          </w:p>
          <w:p w14:paraId="0125109C" w14:textId="5D65B0D6" w:rsidR="00F12257" w:rsidRDefault="004A77E8" w:rsidP="004A77E8">
            <w:pPr>
              <w:widowControl w:val="0"/>
              <w:spacing w:before="120" w:after="120"/>
              <w:jc w:val="both"/>
              <w:rPr>
                <w:snapToGrid w:val="0"/>
              </w:rPr>
            </w:pPr>
            <w:r w:rsidRPr="004A77E8">
              <w:rPr>
                <w:snapToGrid w:val="0"/>
              </w:rPr>
              <w:t>Planuojama Įstatymo projektą teikti svarstyti Lietuvos Respublikos Seimui 2026 m. pavasario sesijoje.</w:t>
            </w:r>
          </w:p>
        </w:tc>
        <w:tc>
          <w:tcPr>
            <w:tcW w:w="2945" w:type="dxa"/>
          </w:tcPr>
          <w:p w14:paraId="05FAE2BA" w14:textId="34685D0E" w:rsidR="00F12257" w:rsidRPr="005D18BE" w:rsidRDefault="00EF2CD9" w:rsidP="003E60FD">
            <w:pPr>
              <w:widowControl w:val="0"/>
              <w:spacing w:before="120"/>
              <w:rPr>
                <w:b/>
                <w:bCs/>
                <w:snapToGrid w:val="0"/>
              </w:rPr>
            </w:pPr>
            <w:r>
              <w:rPr>
                <w:b/>
                <w:bCs/>
                <w:snapToGrid w:val="0"/>
                <w:color w:val="2E74B5" w:themeColor="accent1" w:themeShade="BF"/>
              </w:rPr>
              <w:t>Pasiūlymas į</w:t>
            </w:r>
            <w:r w:rsidRPr="006B3A24">
              <w:rPr>
                <w:b/>
                <w:bCs/>
                <w:snapToGrid w:val="0"/>
                <w:color w:val="2E74B5" w:themeColor="accent1" w:themeShade="BF"/>
              </w:rPr>
              <w:t>gyvendinama</w:t>
            </w:r>
            <w:r>
              <w:rPr>
                <w:b/>
                <w:bCs/>
                <w:snapToGrid w:val="0"/>
                <w:color w:val="2E74B5" w:themeColor="accent1" w:themeShade="BF"/>
              </w:rPr>
              <w:t>s</w:t>
            </w:r>
            <w:r w:rsidR="005D18BE" w:rsidRPr="005D18BE">
              <w:rPr>
                <w:b/>
                <w:bCs/>
                <w:snapToGrid w:val="0"/>
                <w:color w:val="2E74B5" w:themeColor="accent1" w:themeShade="BF"/>
              </w:rPr>
              <w:t xml:space="preserve"> </w:t>
            </w:r>
          </w:p>
        </w:tc>
      </w:tr>
      <w:tr w:rsidR="009D1580" w:rsidRPr="002B3452" w14:paraId="3D6A8FFD" w14:textId="77777777" w:rsidTr="009F0C4F">
        <w:tc>
          <w:tcPr>
            <w:tcW w:w="2680" w:type="dxa"/>
            <w:vMerge w:val="restart"/>
          </w:tcPr>
          <w:p w14:paraId="531AF5DA" w14:textId="669A081A" w:rsidR="009D1580" w:rsidRPr="002B3452" w:rsidRDefault="009D1580" w:rsidP="008B58D4">
            <w:pPr>
              <w:widowControl w:val="0"/>
              <w:spacing w:before="120"/>
              <w:jc w:val="both"/>
              <w:rPr>
                <w:snapToGrid w:val="0"/>
              </w:rPr>
            </w:pPr>
            <w:r>
              <w:t xml:space="preserve">5.1.6. </w:t>
            </w:r>
            <w:r w:rsidRPr="00490374">
              <w:t xml:space="preserve">Nepakankamas planinių patikrinimų dažnis, ribotas nepriekaištingos reputacijos atitikties tikrinimas ir neefektyvus rizikos vertinimo mechanizmas (kelių metodikų taikymas to paties ūkio subjekto </w:t>
            </w:r>
            <w:r w:rsidRPr="00490374">
              <w:lastRenderedPageBreak/>
              <w:t>rizikingumui įvertinti, siaura tikrinimo objekto apimtis) kelia rimtą priežiūros ir kontrolės neveiksmingumo riziką, sudarydami sąlygas nesąžiningiems ūkio subjektams išvengti atsakomybės</w:t>
            </w:r>
            <w:r>
              <w:t>.</w:t>
            </w:r>
          </w:p>
        </w:tc>
        <w:tc>
          <w:tcPr>
            <w:tcW w:w="2747" w:type="dxa"/>
          </w:tcPr>
          <w:p w14:paraId="24BBCD03" w14:textId="77777777" w:rsidR="009D1580" w:rsidRPr="005D6D48" w:rsidRDefault="009D1580" w:rsidP="005F6C81">
            <w:pPr>
              <w:spacing w:before="120" w:after="120"/>
              <w:jc w:val="both"/>
              <w:rPr>
                <w:b/>
                <w:bCs/>
              </w:rPr>
            </w:pPr>
            <w:r w:rsidRPr="005D6D48">
              <w:rPr>
                <w:b/>
                <w:bCs/>
              </w:rPr>
              <w:lastRenderedPageBreak/>
              <w:t>Priežiūros tarnybai:</w:t>
            </w:r>
          </w:p>
          <w:p w14:paraId="545BD140" w14:textId="2BDB95A3" w:rsidR="009D1580" w:rsidRDefault="009D1580" w:rsidP="00277329">
            <w:pPr>
              <w:jc w:val="both"/>
            </w:pPr>
            <w:r>
              <w:t>6.2.2. Siekdami užtikrinti efektyvią, skaidrią ir nuoseklią ūkio subjektų priežiūrą bei kontrolę, kuri būtų ne formali, o realiai užtikrinanti teisės aktų laikymąsi, siūlome:</w:t>
            </w:r>
          </w:p>
          <w:p w14:paraId="4C569133" w14:textId="16E80CEC" w:rsidR="009D1580" w:rsidRPr="007C295F" w:rsidRDefault="009D1580" w:rsidP="007C295F">
            <w:pPr>
              <w:jc w:val="both"/>
            </w:pPr>
            <w:r>
              <w:lastRenderedPageBreak/>
              <w:t>6.2.2.1. tobulinti rizikingumo vertinimo metodikas, užtikrinant, kad: rizikos kriterijai būtų vieningi (neišskiriant lošimų įrenginių eksploatavimo kaip pagrindo atskiros metodikos taikymui), objektyvūs ir atspindėtų realias veiklos rizikas, kad priežiūros institucija teiktų pirmenybę patikrinimams pagal tikrąjį pažeidimų pavojų; rizikos vertinimas nebūtų tik formalus procesas, bet apimtų tiek finansinius, tiek veiklos skaidrumo, reputacijos bei atitikties kitiems ALĮ reikalavimams;</w:t>
            </w:r>
          </w:p>
        </w:tc>
        <w:tc>
          <w:tcPr>
            <w:tcW w:w="6050" w:type="dxa"/>
          </w:tcPr>
          <w:p w14:paraId="796E6004" w14:textId="5E668EF8" w:rsidR="009D1580" w:rsidRDefault="009D1580" w:rsidP="008B58D4">
            <w:pPr>
              <w:widowControl w:val="0"/>
              <w:spacing w:before="120"/>
              <w:jc w:val="both"/>
              <w:rPr>
                <w:snapToGrid w:val="0"/>
              </w:rPr>
            </w:pPr>
            <w:r>
              <w:rPr>
                <w:snapToGrid w:val="0"/>
              </w:rPr>
              <w:lastRenderedPageBreak/>
              <w:t xml:space="preserve">Ne vėliau kaip iki 2025 m. lapkričio 10 d. numatoma parengti ir patvirtinti </w:t>
            </w:r>
            <w:r w:rsidRPr="008F640D">
              <w:t>Lošimų priežiūros tarnybos prie Lietuvos Respublikos finansų ministerijos ūkio subjektų rizikos įvertinimo ir valdymo metodik</w:t>
            </w:r>
            <w:r>
              <w:t>os</w:t>
            </w:r>
            <w:r w:rsidRPr="008F640D">
              <w:t>, patvirtint</w:t>
            </w:r>
            <w:r>
              <w:t>os</w:t>
            </w:r>
            <w:r w:rsidRPr="008F640D">
              <w:t xml:space="preserve"> </w:t>
            </w:r>
            <w:r w:rsidRPr="00086579">
              <w:rPr>
                <w:rFonts w:asciiTheme="majorBidi" w:hAnsiTheme="majorBidi" w:cstheme="majorBidi"/>
              </w:rPr>
              <w:t xml:space="preserve">Lošimų priežiūros tarnybos </w:t>
            </w:r>
            <w:r>
              <w:rPr>
                <w:rFonts w:asciiTheme="majorBidi" w:hAnsiTheme="majorBidi" w:cstheme="majorBidi"/>
              </w:rPr>
              <w:t xml:space="preserve">prie Lietuvos Respublikos finansų ministerijos </w:t>
            </w:r>
            <w:r w:rsidRPr="00086579">
              <w:rPr>
                <w:rFonts w:asciiTheme="majorBidi" w:hAnsiTheme="majorBidi" w:cstheme="majorBidi"/>
              </w:rPr>
              <w:t>direktoriaus</w:t>
            </w:r>
            <w:r w:rsidRPr="008F640D">
              <w:t xml:space="preserve"> 2013 m. birželio 14 d. įsakymu Nr. V-24 ,,Dėl prižiūrimų ūkio subjektų rizikos įvertinimo ir valdymo metodikos </w:t>
            </w:r>
            <w:r w:rsidRPr="008F640D">
              <w:rPr>
                <w:shd w:val="clear" w:color="auto" w:fill="FFFFFF" w:themeFill="background1"/>
              </w:rPr>
              <w:t xml:space="preserve">patvirtinimo“ (kartu su 2024 m. lapkričio 26 d. </w:t>
            </w:r>
            <w:r w:rsidRPr="008F640D">
              <w:rPr>
                <w:bCs/>
                <w:shd w:val="clear" w:color="auto" w:fill="FFFFFF" w:themeFill="background1"/>
              </w:rPr>
              <w:t>įsakymo Nr. V-20 redakcija)</w:t>
            </w:r>
            <w:r>
              <w:rPr>
                <w:bCs/>
                <w:shd w:val="clear" w:color="auto" w:fill="FFFFFF" w:themeFill="background1"/>
              </w:rPr>
              <w:t xml:space="preserve"> pakeitimus, metodiką papildant vieningais (neišskiriant lošimo įrenginių </w:t>
            </w:r>
            <w:r>
              <w:rPr>
                <w:bCs/>
                <w:shd w:val="clear" w:color="auto" w:fill="FFFFFF" w:themeFill="background1"/>
              </w:rPr>
              <w:lastRenderedPageBreak/>
              <w:t>eksploatavimo kaip pagrindo atskiros metodikos taikymui) objektyviais ir realias veiklos rizikas atspindinčiais kriterijais, nustatant rizikos vertinimo sistemą, pagal kurią planiniams patikrinimas būtų galima atrinkti daugiau subjektų užtikrinant, kad planinių patikrinimų apimtis nebūtų per siaura.</w:t>
            </w:r>
          </w:p>
          <w:p w14:paraId="038FE62E" w14:textId="77777777" w:rsidR="009D1580" w:rsidRDefault="009D1580" w:rsidP="008B58D4">
            <w:pPr>
              <w:widowControl w:val="0"/>
              <w:spacing w:before="120"/>
              <w:jc w:val="both"/>
              <w:rPr>
                <w:snapToGrid w:val="0"/>
              </w:rPr>
            </w:pPr>
          </w:p>
          <w:p w14:paraId="051BDFA9" w14:textId="196009B9" w:rsidR="00A21416" w:rsidRDefault="00A21416" w:rsidP="008B58D4">
            <w:pPr>
              <w:widowControl w:val="0"/>
              <w:spacing w:before="120"/>
              <w:jc w:val="both"/>
              <w:rPr>
                <w:snapToGrid w:val="0"/>
              </w:rPr>
            </w:pPr>
          </w:p>
          <w:p w14:paraId="1461C1F2" w14:textId="055A1C30" w:rsidR="00A21416" w:rsidRDefault="00A21416" w:rsidP="008B58D4">
            <w:pPr>
              <w:widowControl w:val="0"/>
              <w:spacing w:before="120"/>
              <w:jc w:val="both"/>
              <w:rPr>
                <w:snapToGrid w:val="0"/>
              </w:rPr>
            </w:pPr>
          </w:p>
          <w:p w14:paraId="6CF8048C" w14:textId="01D36806" w:rsidR="00A21416" w:rsidRDefault="00A21416" w:rsidP="008B58D4">
            <w:pPr>
              <w:widowControl w:val="0"/>
              <w:spacing w:before="120"/>
              <w:jc w:val="both"/>
              <w:rPr>
                <w:snapToGrid w:val="0"/>
              </w:rPr>
            </w:pPr>
          </w:p>
          <w:p w14:paraId="264A56B8" w14:textId="0CED8E97" w:rsidR="00A21416" w:rsidRDefault="00A21416" w:rsidP="008B58D4">
            <w:pPr>
              <w:widowControl w:val="0"/>
              <w:spacing w:before="120"/>
              <w:jc w:val="both"/>
              <w:rPr>
                <w:snapToGrid w:val="0"/>
              </w:rPr>
            </w:pPr>
          </w:p>
          <w:p w14:paraId="300D25AC" w14:textId="45875004" w:rsidR="009D1580" w:rsidRPr="002B3452" w:rsidRDefault="009D1580" w:rsidP="001E6418">
            <w:pPr>
              <w:widowControl w:val="0"/>
              <w:spacing w:before="120"/>
              <w:rPr>
                <w:snapToGrid w:val="0"/>
              </w:rPr>
            </w:pPr>
          </w:p>
        </w:tc>
        <w:tc>
          <w:tcPr>
            <w:tcW w:w="2945" w:type="dxa"/>
          </w:tcPr>
          <w:p w14:paraId="2A71EF07" w14:textId="60CFE9EC" w:rsidR="00EE20C4" w:rsidRDefault="00EF2CD9" w:rsidP="00EE20C4">
            <w:pPr>
              <w:widowControl w:val="0"/>
              <w:spacing w:before="120"/>
              <w:rPr>
                <w:b/>
                <w:bCs/>
                <w:snapToGrid w:val="0"/>
                <w:color w:val="2E74B5" w:themeColor="accent1" w:themeShade="BF"/>
              </w:rPr>
            </w:pPr>
            <w:r>
              <w:rPr>
                <w:b/>
                <w:bCs/>
                <w:snapToGrid w:val="0"/>
                <w:color w:val="0070C0"/>
              </w:rPr>
              <w:lastRenderedPageBreak/>
              <w:t>Pasiūlymą p</w:t>
            </w:r>
            <w:r w:rsidR="00EE20C4">
              <w:rPr>
                <w:b/>
                <w:bCs/>
                <w:snapToGrid w:val="0"/>
                <w:color w:val="0070C0"/>
              </w:rPr>
              <w:t>lanuojama į</w:t>
            </w:r>
            <w:r w:rsidR="00EE20C4" w:rsidRPr="00637576">
              <w:rPr>
                <w:b/>
                <w:bCs/>
                <w:snapToGrid w:val="0"/>
                <w:color w:val="0070C0"/>
              </w:rPr>
              <w:t>gyvendin</w:t>
            </w:r>
            <w:r w:rsidR="00EE20C4">
              <w:rPr>
                <w:b/>
                <w:bCs/>
                <w:snapToGrid w:val="0"/>
                <w:color w:val="0070C0"/>
              </w:rPr>
              <w:t>ti</w:t>
            </w:r>
          </w:p>
          <w:p w14:paraId="036B10A7" w14:textId="4A589B98" w:rsidR="0006361B" w:rsidRPr="0006361B" w:rsidRDefault="0006361B" w:rsidP="00F01848">
            <w:pPr>
              <w:widowControl w:val="0"/>
              <w:jc w:val="both"/>
            </w:pPr>
          </w:p>
        </w:tc>
      </w:tr>
      <w:tr w:rsidR="009D1580" w:rsidRPr="002B3452" w14:paraId="080D6DBF" w14:textId="77777777" w:rsidTr="009F0C4F">
        <w:tc>
          <w:tcPr>
            <w:tcW w:w="2680" w:type="dxa"/>
            <w:vMerge/>
          </w:tcPr>
          <w:p w14:paraId="0122828F" w14:textId="77777777" w:rsidR="009D1580" w:rsidRDefault="009D1580" w:rsidP="008B58D4">
            <w:pPr>
              <w:widowControl w:val="0"/>
              <w:spacing w:before="120"/>
              <w:jc w:val="both"/>
            </w:pPr>
          </w:p>
        </w:tc>
        <w:tc>
          <w:tcPr>
            <w:tcW w:w="2747" w:type="dxa"/>
          </w:tcPr>
          <w:p w14:paraId="23F75163" w14:textId="439E0D49" w:rsidR="009D1580" w:rsidRPr="007C295F" w:rsidRDefault="009D1580" w:rsidP="005D6D48">
            <w:pPr>
              <w:spacing w:before="120"/>
              <w:jc w:val="both"/>
            </w:pPr>
            <w:r>
              <w:t>6.2.2.2. didinti planinių patikrinimų skaičių, kad būtų užtikrintas sistemingas ir nuoseklus ūkio subjektų tikrinimas, o ne epizodiniai ar selektyvūs patikrinimai. Tikrinimo dažnumas turėtų būti priklausomas nuo rizikos lygio, o ne vykdomas formaliai pagal fiksuotą skaičių;</w:t>
            </w:r>
          </w:p>
        </w:tc>
        <w:tc>
          <w:tcPr>
            <w:tcW w:w="6050" w:type="dxa"/>
          </w:tcPr>
          <w:p w14:paraId="61FA0799" w14:textId="57398CF5" w:rsidR="009D1580" w:rsidRDefault="00A21416" w:rsidP="00711567">
            <w:pPr>
              <w:widowControl w:val="0"/>
              <w:spacing w:before="120"/>
              <w:jc w:val="both"/>
              <w:rPr>
                <w:snapToGrid w:val="0"/>
              </w:rPr>
            </w:pPr>
            <w:r>
              <w:rPr>
                <w:snapToGrid w:val="0"/>
              </w:rPr>
              <w:t xml:space="preserve">Priežiūros tarnyba praplėtė šiuo metu pagal 2025 m. planinių patikrinimų planą </w:t>
            </w:r>
            <w:hyperlink r:id="rId14" w:history="1">
              <w:r w:rsidRPr="00291A1F">
                <w:rPr>
                  <w:rStyle w:val="Hipersaitas"/>
                  <w:snapToGrid w:val="0"/>
                </w:rPr>
                <w:t>https://lpt.lrv.lt/public/canonical/1736753192/1040/patikr%20planas.pdf</w:t>
              </w:r>
            </w:hyperlink>
            <w:r>
              <w:rPr>
                <w:snapToGrid w:val="0"/>
              </w:rPr>
              <w:t xml:space="preserve"> atliekamų planinių patikrinimų apimtį dėl tikrinamų subjektų atitikties nepriekaištingos reputacijos reikalavimams. </w:t>
            </w:r>
          </w:p>
        </w:tc>
        <w:tc>
          <w:tcPr>
            <w:tcW w:w="2945" w:type="dxa"/>
          </w:tcPr>
          <w:p w14:paraId="32A1C1B2" w14:textId="34A680FE" w:rsidR="0006361B" w:rsidRDefault="00EF2CD9" w:rsidP="009501FA">
            <w:pPr>
              <w:widowControl w:val="0"/>
              <w:rPr>
                <w:b/>
                <w:bCs/>
                <w:snapToGrid w:val="0"/>
                <w:color w:val="2E74B5" w:themeColor="accent1" w:themeShade="BF"/>
              </w:rPr>
            </w:pPr>
            <w:r>
              <w:rPr>
                <w:b/>
                <w:bCs/>
                <w:snapToGrid w:val="0"/>
                <w:color w:val="0070C0"/>
              </w:rPr>
              <w:t>Pasiūlymas į</w:t>
            </w:r>
            <w:r w:rsidR="0006361B" w:rsidRPr="00637576">
              <w:rPr>
                <w:b/>
                <w:bCs/>
                <w:snapToGrid w:val="0"/>
                <w:color w:val="0070C0"/>
              </w:rPr>
              <w:t>gyvendinama</w:t>
            </w:r>
            <w:r>
              <w:rPr>
                <w:b/>
                <w:bCs/>
                <w:snapToGrid w:val="0"/>
                <w:color w:val="0070C0"/>
              </w:rPr>
              <w:t>s</w:t>
            </w:r>
          </w:p>
          <w:p w14:paraId="02909F16" w14:textId="3FE2C29F" w:rsidR="0006361B" w:rsidRPr="00187FE3" w:rsidRDefault="0006361B" w:rsidP="009501FA">
            <w:pPr>
              <w:widowControl w:val="0"/>
              <w:jc w:val="both"/>
              <w:rPr>
                <w:snapToGrid w:val="0"/>
              </w:rPr>
            </w:pPr>
            <w:r>
              <w:rPr>
                <w:snapToGrid w:val="0"/>
              </w:rPr>
              <w:t xml:space="preserve">2025 m. patikrinimų plane numatyta atlikti dvigubai daugiau patikrinimų. </w:t>
            </w:r>
            <w:r w:rsidR="00711567">
              <w:rPr>
                <w:snapToGrid w:val="0"/>
              </w:rPr>
              <w:t>N</w:t>
            </w:r>
            <w:r>
              <w:rPr>
                <w:snapToGrid w:val="0"/>
              </w:rPr>
              <w:t xml:space="preserve">epriekaištinga reputacija bus vertinama kiekvieno planinio patikrinimo metu. </w:t>
            </w:r>
          </w:p>
          <w:p w14:paraId="50026C9C" w14:textId="77777777" w:rsidR="009D1580" w:rsidRDefault="009D1580" w:rsidP="0006361B">
            <w:pPr>
              <w:rPr>
                <w:snapToGrid w:val="0"/>
              </w:rPr>
            </w:pPr>
          </w:p>
        </w:tc>
      </w:tr>
      <w:tr w:rsidR="009D1580" w:rsidRPr="002B3452" w14:paraId="4E0E411C" w14:textId="77777777" w:rsidTr="009F0C4F">
        <w:tc>
          <w:tcPr>
            <w:tcW w:w="2680" w:type="dxa"/>
            <w:vMerge/>
          </w:tcPr>
          <w:p w14:paraId="6E284C3A" w14:textId="77777777" w:rsidR="009D1580" w:rsidRDefault="009D1580" w:rsidP="008B58D4">
            <w:pPr>
              <w:widowControl w:val="0"/>
              <w:spacing w:before="120"/>
              <w:jc w:val="both"/>
            </w:pPr>
          </w:p>
        </w:tc>
        <w:tc>
          <w:tcPr>
            <w:tcW w:w="2747" w:type="dxa"/>
          </w:tcPr>
          <w:p w14:paraId="1B01390B" w14:textId="63F99E3A" w:rsidR="009D1580" w:rsidRPr="007C295F" w:rsidRDefault="009D1580" w:rsidP="00F81063">
            <w:pPr>
              <w:spacing w:before="120" w:after="120"/>
              <w:jc w:val="both"/>
            </w:pPr>
            <w:r w:rsidRPr="007C295F">
              <w:t>6.2.2.3. užtikrinti, kad planinių patikrinimų apimtis nebūtų per siaura, t. y.: kiekvieno planinio patikrinimo metu tikrinti ne tik specifinę lošimų organizatoriaus veiklos sritį, bet ir jo atitiktį nepriekaištingos reputacijos reikalavimui.</w:t>
            </w:r>
          </w:p>
        </w:tc>
        <w:tc>
          <w:tcPr>
            <w:tcW w:w="6050" w:type="dxa"/>
          </w:tcPr>
          <w:p w14:paraId="3ECC8877" w14:textId="77777777" w:rsidR="00C34E23" w:rsidRDefault="00C34E23" w:rsidP="00C34E23">
            <w:pPr>
              <w:widowControl w:val="0"/>
              <w:spacing w:before="120"/>
              <w:jc w:val="both"/>
            </w:pPr>
            <w:r>
              <w:rPr>
                <w:snapToGrid w:val="0"/>
              </w:rPr>
              <w:t>Taip pat Projekte Nr. 1 (žr. lentelės 5.1.2 pastabą) numatoma, kad k</w:t>
            </w:r>
            <w:r>
              <w:t>iekvieno planinio patikrinimo metu turi būti tikrinama</w:t>
            </w:r>
            <w:r w:rsidRPr="006C509B">
              <w:t xml:space="preserve"> ne tik specifin</w:t>
            </w:r>
            <w:r>
              <w:t>ė</w:t>
            </w:r>
            <w:r w:rsidRPr="006C509B">
              <w:t xml:space="preserve"> lošimų organizatoriaus veiklos srit</w:t>
            </w:r>
            <w:r>
              <w:t>is</w:t>
            </w:r>
            <w:r w:rsidRPr="006C509B">
              <w:t>, bet ir jo atitikt</w:t>
            </w:r>
            <w:r>
              <w:t>is</w:t>
            </w:r>
            <w:r w:rsidRPr="006C509B">
              <w:t xml:space="preserve"> nepriekaištingos reputacijos reikalavimui.</w:t>
            </w:r>
          </w:p>
          <w:p w14:paraId="479C0AB5" w14:textId="77777777" w:rsidR="00C34E23" w:rsidRDefault="00C34E23" w:rsidP="00C34E23">
            <w:pPr>
              <w:widowControl w:val="0"/>
              <w:spacing w:before="120"/>
              <w:jc w:val="both"/>
              <w:rPr>
                <w:snapToGrid w:val="0"/>
              </w:rPr>
            </w:pPr>
          </w:p>
          <w:p w14:paraId="18F62B19" w14:textId="77777777" w:rsidR="009D1580" w:rsidRDefault="009D1580" w:rsidP="00F81063">
            <w:pPr>
              <w:widowControl w:val="0"/>
              <w:spacing w:before="120" w:after="120"/>
              <w:jc w:val="both"/>
              <w:rPr>
                <w:snapToGrid w:val="0"/>
              </w:rPr>
            </w:pPr>
          </w:p>
        </w:tc>
        <w:tc>
          <w:tcPr>
            <w:tcW w:w="2945" w:type="dxa"/>
          </w:tcPr>
          <w:p w14:paraId="488B64A0" w14:textId="77777777" w:rsidR="00880FD3" w:rsidRDefault="00880FD3" w:rsidP="00880FD3">
            <w:pPr>
              <w:widowControl w:val="0"/>
              <w:spacing w:before="120"/>
              <w:rPr>
                <w:b/>
                <w:bCs/>
                <w:snapToGrid w:val="0"/>
                <w:color w:val="2E74B5" w:themeColor="accent1" w:themeShade="BF"/>
              </w:rPr>
            </w:pPr>
            <w:r>
              <w:rPr>
                <w:b/>
                <w:bCs/>
                <w:snapToGrid w:val="0"/>
                <w:color w:val="0070C0"/>
              </w:rPr>
              <w:t>Pasiūlymas į</w:t>
            </w:r>
            <w:r w:rsidRPr="00637576">
              <w:rPr>
                <w:b/>
                <w:bCs/>
                <w:snapToGrid w:val="0"/>
                <w:color w:val="0070C0"/>
              </w:rPr>
              <w:t>gyvendinama</w:t>
            </w:r>
            <w:r>
              <w:rPr>
                <w:b/>
                <w:bCs/>
                <w:snapToGrid w:val="0"/>
                <w:color w:val="0070C0"/>
              </w:rPr>
              <w:t>s</w:t>
            </w:r>
          </w:p>
          <w:p w14:paraId="76D3541D" w14:textId="77777777" w:rsidR="0006361B" w:rsidRDefault="0006361B" w:rsidP="0006361B">
            <w:pPr>
              <w:widowControl w:val="0"/>
              <w:spacing w:before="120"/>
              <w:rPr>
                <w:snapToGrid w:val="0"/>
              </w:rPr>
            </w:pPr>
          </w:p>
          <w:p w14:paraId="16E05998" w14:textId="77777777" w:rsidR="0006361B" w:rsidRDefault="0006361B" w:rsidP="0006361B">
            <w:pPr>
              <w:widowControl w:val="0"/>
              <w:spacing w:before="120"/>
              <w:rPr>
                <w:snapToGrid w:val="0"/>
              </w:rPr>
            </w:pPr>
          </w:p>
          <w:p w14:paraId="36E0183A" w14:textId="77777777" w:rsidR="009D1580" w:rsidRDefault="009D1580" w:rsidP="0006361B">
            <w:pPr>
              <w:rPr>
                <w:snapToGrid w:val="0"/>
              </w:rPr>
            </w:pPr>
          </w:p>
        </w:tc>
      </w:tr>
      <w:tr w:rsidR="00F81063" w:rsidRPr="002B3452" w14:paraId="48457822" w14:textId="77777777" w:rsidTr="009F0C4F">
        <w:tc>
          <w:tcPr>
            <w:tcW w:w="2680" w:type="dxa"/>
          </w:tcPr>
          <w:p w14:paraId="1B3012B9" w14:textId="58120547" w:rsidR="00F81063" w:rsidRDefault="00052551" w:rsidP="00891EF6">
            <w:pPr>
              <w:widowControl w:val="0"/>
              <w:spacing w:before="120" w:after="120"/>
              <w:jc w:val="both"/>
            </w:pPr>
            <w:r>
              <w:t xml:space="preserve">5.1.7. Nustatytas kontrolinių veiksmų, nereglamentuotų nei ALĮ, nei kituose Priežiūros tarnybos veiklą reglamentuojančiuose teisės aktuose, taikymas </w:t>
            </w:r>
            <w:r w:rsidRPr="00052551">
              <w:t xml:space="preserve">vienos bendrovės atžvilgiu gali būti suvokiamas kaip </w:t>
            </w:r>
            <w:r w:rsidRPr="00052551">
              <w:rPr>
                <w:rStyle w:val="Grietas"/>
                <w:b w:val="0"/>
                <w:bCs w:val="0"/>
              </w:rPr>
              <w:t>šališkas, selektyvus</w:t>
            </w:r>
            <w:r w:rsidRPr="00052551">
              <w:t xml:space="preserve"> ar net turintis </w:t>
            </w:r>
            <w:r w:rsidRPr="00052551">
              <w:rPr>
                <w:rStyle w:val="Grietas"/>
                <w:b w:val="0"/>
                <w:bCs w:val="0"/>
              </w:rPr>
              <w:t>protekcionizmo</w:t>
            </w:r>
            <w:r w:rsidRPr="00052551">
              <w:t xml:space="preserve"> požymių (kai vieni rinkos dalyviai tikrinami, kiti – ne). Tai kelia </w:t>
            </w:r>
            <w:r w:rsidRPr="00052551">
              <w:rPr>
                <w:rStyle w:val="Grietas"/>
                <w:b w:val="0"/>
                <w:bCs w:val="0"/>
              </w:rPr>
              <w:t>nelygiavertės konkurencijos</w:t>
            </w:r>
            <w:r w:rsidRPr="00052551">
              <w:rPr>
                <w:b/>
                <w:bCs/>
              </w:rPr>
              <w:t xml:space="preserve"> ir </w:t>
            </w:r>
            <w:r w:rsidRPr="00052551">
              <w:rPr>
                <w:rStyle w:val="Grietas"/>
                <w:b w:val="0"/>
                <w:bCs w:val="0"/>
              </w:rPr>
              <w:t>pasitikėjimo priežiūra praradimo</w:t>
            </w:r>
            <w:r w:rsidRPr="00052551">
              <w:rPr>
                <w:b/>
                <w:bCs/>
              </w:rPr>
              <w:t xml:space="preserve"> </w:t>
            </w:r>
            <w:r w:rsidRPr="00052551">
              <w:t>riziką</w:t>
            </w:r>
            <w:r>
              <w:t xml:space="preserve">. </w:t>
            </w:r>
            <w:r w:rsidRPr="009265C0">
              <w:t xml:space="preserve">Jeigu institucija veikia už įstatymo ribų, atlikdama veiksmus, kurių jai aiškiai nesuteikia teisės aktai, tai kelia galimo </w:t>
            </w:r>
            <w:r w:rsidRPr="009265C0">
              <w:lastRenderedPageBreak/>
              <w:t>tarnybin</w:t>
            </w:r>
            <w:r>
              <w:t>ių</w:t>
            </w:r>
            <w:r w:rsidRPr="009265C0">
              <w:t xml:space="preserve"> padėties viršijimo riziką. Tai reiškia, kad institucija gali nepagrįstai pasirinkti, kada ir kam taikyti papildomas kontrolės formas</w:t>
            </w:r>
            <w:r>
              <w:t>.</w:t>
            </w:r>
          </w:p>
        </w:tc>
        <w:tc>
          <w:tcPr>
            <w:tcW w:w="2747" w:type="dxa"/>
          </w:tcPr>
          <w:p w14:paraId="5BD3532A" w14:textId="552A4DAB" w:rsidR="00F81063" w:rsidRPr="00515FA6" w:rsidRDefault="00515FA6" w:rsidP="00F81063">
            <w:pPr>
              <w:spacing w:before="120" w:after="120"/>
              <w:jc w:val="both"/>
              <w:rPr>
                <w:b/>
                <w:bCs/>
              </w:rPr>
            </w:pPr>
            <w:r w:rsidRPr="00515FA6">
              <w:rPr>
                <w:b/>
                <w:bCs/>
              </w:rPr>
              <w:lastRenderedPageBreak/>
              <w:t>Finansų ministerijai:</w:t>
            </w:r>
          </w:p>
          <w:p w14:paraId="1E4B0F7D" w14:textId="2DE8C866" w:rsidR="00515FA6" w:rsidRPr="007C295F" w:rsidRDefault="00515FA6" w:rsidP="00F81063">
            <w:pPr>
              <w:spacing w:before="120" w:after="120"/>
              <w:jc w:val="both"/>
            </w:pPr>
            <w:r>
              <w:t>6.1.5. Siekdami užtikrinti teisėtą, skaidrią, veiksnią ir nuoseklią kontrolės praktiką, mažinančią galimus piktnaudžiavimus bei stiprinančią visuomenės ir rinkos dalyvių pasitikėjimą priežiūros veikla, siūlome įvertinti poreikį suteikti įgaliojimus lošimų priežiūros pareigūnams atlikti kontrolinius lošimus tokia apimtimi, kaip reglamentuota VAĮ 2 straipsnio 6 dalyje</w:t>
            </w:r>
            <w:r w:rsidR="00354A9A">
              <w:t>.</w:t>
            </w:r>
          </w:p>
        </w:tc>
        <w:tc>
          <w:tcPr>
            <w:tcW w:w="6050" w:type="dxa"/>
          </w:tcPr>
          <w:p w14:paraId="1BF13D06" w14:textId="7B7C6203" w:rsidR="007C6004" w:rsidRPr="007C6004" w:rsidRDefault="00A10571" w:rsidP="007C6004">
            <w:pPr>
              <w:widowControl w:val="0"/>
              <w:spacing w:before="120" w:after="120"/>
              <w:jc w:val="both"/>
              <w:rPr>
                <w:snapToGrid w:val="0"/>
              </w:rPr>
            </w:pPr>
            <w:r>
              <w:rPr>
                <w:snapToGrid w:val="0"/>
              </w:rPr>
              <w:t xml:space="preserve">Rengiamu </w:t>
            </w:r>
            <w:r w:rsidR="007C6004" w:rsidRPr="007C6004">
              <w:rPr>
                <w:snapToGrid w:val="0"/>
              </w:rPr>
              <w:t>Įstatymo projektu siūloma suteikti Priežiūros tarnybai įgaliojimus atlikti kontrolinius lošimus tokia apimtimi, kaip reglamentuota VAĮ 2 straipsnio 6 dalyje.</w:t>
            </w:r>
          </w:p>
          <w:p w14:paraId="409DDE71" w14:textId="10BED16B" w:rsidR="00F81063" w:rsidRDefault="007C6004" w:rsidP="007C6004">
            <w:pPr>
              <w:widowControl w:val="0"/>
              <w:spacing w:before="120" w:after="120"/>
              <w:jc w:val="both"/>
              <w:rPr>
                <w:snapToGrid w:val="0"/>
              </w:rPr>
            </w:pPr>
            <w:r w:rsidRPr="007C6004">
              <w:rPr>
                <w:snapToGrid w:val="0"/>
              </w:rPr>
              <w:t>Planuojama Įstatymo projektą teikti svarstyti Lietuvos Respublikos Seimui 2026 m. pavasario sesijoje.</w:t>
            </w:r>
          </w:p>
        </w:tc>
        <w:tc>
          <w:tcPr>
            <w:tcW w:w="2945" w:type="dxa"/>
          </w:tcPr>
          <w:p w14:paraId="25897EE1" w14:textId="77777777" w:rsidR="003A3983" w:rsidRDefault="003A3983" w:rsidP="003A3983">
            <w:pPr>
              <w:widowControl w:val="0"/>
              <w:spacing w:before="120"/>
              <w:rPr>
                <w:b/>
                <w:bCs/>
                <w:snapToGrid w:val="0"/>
                <w:color w:val="2E74B5" w:themeColor="accent1" w:themeShade="BF"/>
              </w:rPr>
            </w:pPr>
            <w:r>
              <w:rPr>
                <w:b/>
                <w:bCs/>
                <w:snapToGrid w:val="0"/>
                <w:color w:val="0070C0"/>
              </w:rPr>
              <w:t>Pasiūlymas į</w:t>
            </w:r>
            <w:r w:rsidRPr="00637576">
              <w:rPr>
                <w:b/>
                <w:bCs/>
                <w:snapToGrid w:val="0"/>
                <w:color w:val="0070C0"/>
              </w:rPr>
              <w:t>gyvendinama</w:t>
            </w:r>
            <w:r>
              <w:rPr>
                <w:b/>
                <w:bCs/>
                <w:snapToGrid w:val="0"/>
                <w:color w:val="0070C0"/>
              </w:rPr>
              <w:t>s</w:t>
            </w:r>
          </w:p>
          <w:p w14:paraId="036B5917" w14:textId="269B0E8A" w:rsidR="00F81063" w:rsidRPr="007C6004" w:rsidRDefault="00F81063" w:rsidP="00F81063">
            <w:pPr>
              <w:widowControl w:val="0"/>
              <w:spacing w:before="120" w:after="120"/>
              <w:rPr>
                <w:b/>
                <w:bCs/>
                <w:snapToGrid w:val="0"/>
              </w:rPr>
            </w:pPr>
          </w:p>
        </w:tc>
      </w:tr>
      <w:tr w:rsidR="00FF1DF0" w:rsidRPr="002B3452" w14:paraId="4FBF67F6" w14:textId="77777777" w:rsidTr="009F0C4F">
        <w:tc>
          <w:tcPr>
            <w:tcW w:w="2680" w:type="dxa"/>
          </w:tcPr>
          <w:p w14:paraId="3C22B507" w14:textId="4B18976E" w:rsidR="0037500E" w:rsidRPr="002B3452" w:rsidRDefault="00A56F47" w:rsidP="009B5EEC">
            <w:pPr>
              <w:widowControl w:val="0"/>
              <w:spacing w:before="120" w:after="120"/>
              <w:jc w:val="both"/>
              <w:rPr>
                <w:snapToGrid w:val="0"/>
              </w:rPr>
            </w:pPr>
            <w:r>
              <w:t xml:space="preserve">5.1.8. </w:t>
            </w:r>
            <w:r w:rsidR="00545031" w:rsidRPr="002C0353">
              <w:t xml:space="preserve">Nevykdoma ūkio subjektų, turinčių licenciją, tačiau faktiškai nevykdančių lošimų </w:t>
            </w:r>
            <w:r w:rsidR="00545031">
              <w:t xml:space="preserve">organizavimo </w:t>
            </w:r>
            <w:r w:rsidR="00545031" w:rsidRPr="002C0353">
              <w:t>veiklos, priežiūra. Šie subjektai nėra sistemingai tikrinami dėl atitikties ALĮ</w:t>
            </w:r>
            <w:r w:rsidR="008A23B7">
              <w:t xml:space="preserve"> </w:t>
            </w:r>
            <w:r w:rsidR="00545031" w:rsidRPr="002C0353">
              <w:t xml:space="preserve">10 straipsnio 4 ir 14 dalių, 11 ir 14 bei kitų straipsnių reikalavimams, o tai reiškia, kad nėra vertinama, be kita ko, ar subjektai pagrįstai tebeturi licencijas ir ar jos neturėtų būti sustabdytos arba panaikintos. Dėl to kyla </w:t>
            </w:r>
            <w:r w:rsidR="00545031" w:rsidRPr="00545031">
              <w:rPr>
                <w:rStyle w:val="Grietas"/>
                <w:b w:val="0"/>
                <w:bCs w:val="0"/>
              </w:rPr>
              <w:t>nelygiavertės konkurencijos rizika</w:t>
            </w:r>
            <w:r w:rsidR="00545031" w:rsidRPr="002C0353">
              <w:t>, kai tam tikri subjektai gali išvengti priežiūros ir reguliavimo, o kiti – būti griežčiau kontroliuojami</w:t>
            </w:r>
            <w:r w:rsidR="00545031">
              <w:t>.</w:t>
            </w:r>
            <w:r w:rsidR="00B747A0">
              <w:t xml:space="preserve"> </w:t>
            </w:r>
          </w:p>
        </w:tc>
        <w:tc>
          <w:tcPr>
            <w:tcW w:w="2747" w:type="dxa"/>
          </w:tcPr>
          <w:p w14:paraId="1BA5BDC1" w14:textId="186E1322" w:rsidR="003F6044" w:rsidRPr="000E6D43" w:rsidRDefault="003F6044" w:rsidP="00984D1C">
            <w:pPr>
              <w:spacing w:before="120"/>
              <w:jc w:val="both"/>
              <w:rPr>
                <w:b/>
                <w:bCs/>
              </w:rPr>
            </w:pPr>
            <w:r w:rsidRPr="000E6D43">
              <w:rPr>
                <w:b/>
                <w:bCs/>
              </w:rPr>
              <w:t>Priežiūros tarnybai:</w:t>
            </w:r>
          </w:p>
          <w:p w14:paraId="1A879866" w14:textId="3847D766" w:rsidR="0037500E" w:rsidRPr="002B3452" w:rsidRDefault="003F6044" w:rsidP="003F6044">
            <w:pPr>
              <w:spacing w:before="120"/>
              <w:jc w:val="both"/>
              <w:rPr>
                <w:snapToGrid w:val="0"/>
              </w:rPr>
            </w:pPr>
            <w:r w:rsidRPr="003F6044">
              <w:t>6.2.3. Patikrinti lošimo bendrovės UAB ,,Nr. 11“ akcininko atitikimą nepriekaištingos reputacijos reikalavimui</w:t>
            </w:r>
            <w:r>
              <w:t>.</w:t>
            </w:r>
          </w:p>
        </w:tc>
        <w:tc>
          <w:tcPr>
            <w:tcW w:w="6050" w:type="dxa"/>
          </w:tcPr>
          <w:p w14:paraId="5EEE4623" w14:textId="71790265" w:rsidR="0037500E" w:rsidRPr="002B3452" w:rsidRDefault="00C47BC6" w:rsidP="00984D1C">
            <w:pPr>
              <w:widowControl w:val="0"/>
              <w:spacing w:before="120"/>
              <w:jc w:val="both"/>
              <w:rPr>
                <w:snapToGrid w:val="0"/>
              </w:rPr>
            </w:pPr>
            <w:r>
              <w:t xml:space="preserve">Atlikti </w:t>
            </w:r>
            <w:r w:rsidRPr="002C0353">
              <w:t xml:space="preserve">ūkio subjektų, turinčių licenciją, tačiau faktiškai nevykdančių lošimų </w:t>
            </w:r>
            <w:r>
              <w:t xml:space="preserve">organizavimo </w:t>
            </w:r>
            <w:r w:rsidRPr="002C0353">
              <w:t>veiklos</w:t>
            </w:r>
            <w:r>
              <w:t xml:space="preserve">, nepriekaištingos reputacijos atitikties patikrinimai. </w:t>
            </w:r>
            <w:r w:rsidR="008A23B7">
              <w:t xml:space="preserve">Vienos bendrovės atžvilgiu nustatytas ALĮ 11 straipsnio 1 ir 2 dalių galimas pažeidimas. Patikrinimo medžiaga 2025 m. liepos 3 d. perduota </w:t>
            </w:r>
            <w:r w:rsidR="008A23B7">
              <w:rPr>
                <w:snapToGrid w:val="0"/>
              </w:rPr>
              <w:t xml:space="preserve">ALĮ </w:t>
            </w:r>
            <w:r w:rsidR="008A23B7" w:rsidRPr="00290F2F">
              <w:t>pažeidimų nagrinėjimo komisij</w:t>
            </w:r>
            <w:r w:rsidR="008A23B7">
              <w:t>ai siūlymams dėl baudos skyrimo ir galimo licencijos sustabdymo teikti.</w:t>
            </w:r>
          </w:p>
        </w:tc>
        <w:tc>
          <w:tcPr>
            <w:tcW w:w="2945" w:type="dxa"/>
          </w:tcPr>
          <w:p w14:paraId="760598AF" w14:textId="284012AC" w:rsidR="0037500E" w:rsidRPr="009E594A" w:rsidRDefault="003A3983" w:rsidP="00984D1C">
            <w:pPr>
              <w:widowControl w:val="0"/>
              <w:spacing w:before="120"/>
              <w:rPr>
                <w:b/>
                <w:bCs/>
                <w:snapToGrid w:val="0"/>
                <w:color w:val="70AD47" w:themeColor="accent6"/>
              </w:rPr>
            </w:pPr>
            <w:r>
              <w:rPr>
                <w:b/>
                <w:bCs/>
                <w:snapToGrid w:val="0"/>
                <w:color w:val="00B050"/>
              </w:rPr>
              <w:t>Pasiūlymas į</w:t>
            </w:r>
            <w:r w:rsidR="009E594A" w:rsidRPr="00486F8D">
              <w:rPr>
                <w:b/>
                <w:bCs/>
                <w:snapToGrid w:val="0"/>
                <w:color w:val="00B050"/>
              </w:rPr>
              <w:t>gyvendinta</w:t>
            </w:r>
            <w:r>
              <w:rPr>
                <w:b/>
                <w:bCs/>
                <w:snapToGrid w:val="0"/>
                <w:color w:val="00B050"/>
              </w:rPr>
              <w:t>s</w:t>
            </w:r>
          </w:p>
        </w:tc>
      </w:tr>
      <w:tr w:rsidR="003B1367" w:rsidRPr="002B3452" w14:paraId="2667AA1F" w14:textId="77777777" w:rsidTr="009F0C4F">
        <w:tc>
          <w:tcPr>
            <w:tcW w:w="2680" w:type="dxa"/>
          </w:tcPr>
          <w:p w14:paraId="4CF2D6CB" w14:textId="1060AA66" w:rsidR="003B1367" w:rsidRPr="00981EE2" w:rsidRDefault="003B1367" w:rsidP="003A0DCD">
            <w:pPr>
              <w:widowControl w:val="0"/>
              <w:spacing w:before="120" w:after="120"/>
              <w:jc w:val="both"/>
            </w:pPr>
            <w:r w:rsidRPr="00981EE2">
              <w:t xml:space="preserve">5.1.9. Dėl neišsamių licencijos galiojimo panaikinimo pagrindų, </w:t>
            </w:r>
            <w:r w:rsidRPr="00981EE2">
              <w:lastRenderedPageBreak/>
              <w:t>ūkio subjektų, daugelį metų nevykdančių licencijoje nurodytos veiklos, turimos licencijos galiojimas nenaikinamas. Tai sudaro sąlygas ,,laikantiems“ licencijas, jas panaudoti kitiems tikslams, pavyzdžiui, manipuliuoti rinka ar perleisti licenciją komerciniais pagrindais, gauti reguliacinį pranašumą ar ateityje pasinaudoti švelnesniu licencijavimo režimu.</w:t>
            </w:r>
          </w:p>
        </w:tc>
        <w:tc>
          <w:tcPr>
            <w:tcW w:w="2747" w:type="dxa"/>
          </w:tcPr>
          <w:p w14:paraId="28EA42BD" w14:textId="3E67E638" w:rsidR="003B1367" w:rsidRPr="00981EE2" w:rsidRDefault="00315C6E" w:rsidP="0013335A">
            <w:pPr>
              <w:spacing w:before="120" w:after="120"/>
              <w:jc w:val="both"/>
              <w:rPr>
                <w:b/>
                <w:bCs/>
              </w:rPr>
            </w:pPr>
            <w:r w:rsidRPr="00981EE2">
              <w:rPr>
                <w:b/>
                <w:bCs/>
              </w:rPr>
              <w:lastRenderedPageBreak/>
              <w:t>Finansų ministerijai:</w:t>
            </w:r>
          </w:p>
          <w:p w14:paraId="1B270E27" w14:textId="60958F56" w:rsidR="00315C6E" w:rsidRPr="00981EE2" w:rsidRDefault="00315C6E" w:rsidP="0013335A">
            <w:pPr>
              <w:spacing w:before="120" w:after="120"/>
              <w:jc w:val="both"/>
            </w:pPr>
            <w:r w:rsidRPr="00981EE2">
              <w:lastRenderedPageBreak/>
              <w:t>6.1.6. Siekdami užkirsti kelią fiktyviam licencijų ,,laikymui“, taip mažinant rinkos manipuliavimo ir reguliavimo išnaudojimo galimybes, siūlome imtis teisėkūros iniciatyvos dėl ALĮ 7</w:t>
            </w:r>
            <w:r w:rsidRPr="00981EE2">
              <w:rPr>
                <w:vertAlign w:val="superscript"/>
              </w:rPr>
              <w:t>2</w:t>
            </w:r>
            <w:r w:rsidRPr="00981EE2">
              <w:t xml:space="preserve"> straipsnio 8 dalies papildymo, numatant pagrindą panaikinti licencijos galiojimą lošimo bendrovėms, jeigu jos ilgiau nei tam tikrą nustatytą laikotarpį nevykdo lošimų organizavimo veiklos (negauna iš jos pajamų).</w:t>
            </w:r>
          </w:p>
        </w:tc>
        <w:tc>
          <w:tcPr>
            <w:tcW w:w="6050" w:type="dxa"/>
          </w:tcPr>
          <w:p w14:paraId="5BEC36B7" w14:textId="77777777" w:rsidR="00CD3F07" w:rsidRPr="00CD3F07" w:rsidRDefault="00CD3F07" w:rsidP="00CD3F07">
            <w:pPr>
              <w:widowControl w:val="0"/>
              <w:spacing w:before="120" w:after="120"/>
              <w:jc w:val="both"/>
              <w:rPr>
                <w:snapToGrid w:val="0"/>
              </w:rPr>
            </w:pPr>
            <w:r w:rsidRPr="00CD3F07">
              <w:rPr>
                <w:snapToGrid w:val="0"/>
              </w:rPr>
              <w:lastRenderedPageBreak/>
              <w:t xml:space="preserve">Rengiamu Įstatymo projektu siūloma išplėsti licencijos panaikinimo pagrindus ir nustatyti, kad licencijos galiojimas bendrovei panaikinamas, jeigu bendrovė ilgiau nei vienerius </w:t>
            </w:r>
            <w:r w:rsidRPr="00CD3F07">
              <w:rPr>
                <w:snapToGrid w:val="0"/>
              </w:rPr>
              <w:lastRenderedPageBreak/>
              <w:t>metus nevykdo lošimų organizavimo veiklos, t. y. negauna iš vykdomos veiklos pajamų.</w:t>
            </w:r>
          </w:p>
          <w:p w14:paraId="4456B0EE" w14:textId="0FFBE812" w:rsidR="003B1367" w:rsidRDefault="00CD3F07" w:rsidP="00CD3F07">
            <w:pPr>
              <w:widowControl w:val="0"/>
              <w:spacing w:before="120" w:after="120"/>
              <w:jc w:val="both"/>
              <w:rPr>
                <w:snapToGrid w:val="0"/>
              </w:rPr>
            </w:pPr>
            <w:r w:rsidRPr="00CD3F07">
              <w:rPr>
                <w:snapToGrid w:val="0"/>
              </w:rPr>
              <w:t>Planuojama Įstatymo projektą teikti svarstyti Lietuvos Respublikos Seimui 2026 m. pavasario sesijoje.</w:t>
            </w:r>
          </w:p>
        </w:tc>
        <w:tc>
          <w:tcPr>
            <w:tcW w:w="2945" w:type="dxa"/>
          </w:tcPr>
          <w:p w14:paraId="4CCE6E3B" w14:textId="059FB2EB" w:rsidR="003B1367" w:rsidRPr="002B3452" w:rsidRDefault="00B63A68" w:rsidP="0013335A">
            <w:pPr>
              <w:widowControl w:val="0"/>
              <w:spacing w:before="120" w:after="120"/>
              <w:rPr>
                <w:snapToGrid w:val="0"/>
              </w:rPr>
            </w:pPr>
            <w:r>
              <w:rPr>
                <w:b/>
                <w:bCs/>
                <w:snapToGrid w:val="0"/>
                <w:color w:val="2E74B5" w:themeColor="accent1" w:themeShade="BF"/>
              </w:rPr>
              <w:lastRenderedPageBreak/>
              <w:t>Pasiūlymas į</w:t>
            </w:r>
            <w:r w:rsidRPr="000D414F">
              <w:rPr>
                <w:b/>
                <w:bCs/>
                <w:snapToGrid w:val="0"/>
                <w:color w:val="2E74B5" w:themeColor="accent1" w:themeShade="BF"/>
              </w:rPr>
              <w:t>gyvendinama</w:t>
            </w:r>
            <w:r>
              <w:rPr>
                <w:b/>
                <w:bCs/>
                <w:snapToGrid w:val="0"/>
                <w:color w:val="2E74B5" w:themeColor="accent1" w:themeShade="BF"/>
              </w:rPr>
              <w:t>s</w:t>
            </w:r>
          </w:p>
        </w:tc>
      </w:tr>
      <w:tr w:rsidR="00CE7D88" w:rsidRPr="002B3452" w14:paraId="05987FE7" w14:textId="77777777" w:rsidTr="009F0C4F">
        <w:tc>
          <w:tcPr>
            <w:tcW w:w="2680" w:type="dxa"/>
            <w:vMerge w:val="restart"/>
          </w:tcPr>
          <w:p w14:paraId="7461B026" w14:textId="63B643C8" w:rsidR="00CE7D88" w:rsidRPr="002B3452" w:rsidRDefault="00CE7D88" w:rsidP="00522916">
            <w:pPr>
              <w:widowControl w:val="0"/>
              <w:spacing w:before="120" w:after="120"/>
              <w:jc w:val="both"/>
              <w:rPr>
                <w:snapToGrid w:val="0"/>
              </w:rPr>
            </w:pPr>
            <w:r>
              <w:t xml:space="preserve">5.1.10. </w:t>
            </w:r>
            <w:r w:rsidRPr="006448A8">
              <w:t>Ūkio subjektų, kurių dalyviai yra lošimų ar loterijų organizatorių dalyviai, teikiama parama Priežiūros tarnybai kelia tiesioginio ar netiesioginio interesų konflikto bei neobjektyvių sprendimų riziką</w:t>
            </w:r>
            <w:r>
              <w:t>.</w:t>
            </w:r>
          </w:p>
        </w:tc>
        <w:tc>
          <w:tcPr>
            <w:tcW w:w="2747" w:type="dxa"/>
          </w:tcPr>
          <w:p w14:paraId="29ADD5B9" w14:textId="7CE0A8D5" w:rsidR="00CE7D88" w:rsidRPr="00E56868" w:rsidRDefault="00CE7D88" w:rsidP="00522916">
            <w:pPr>
              <w:spacing w:before="120" w:after="120"/>
              <w:jc w:val="both"/>
              <w:rPr>
                <w:b/>
                <w:bCs/>
              </w:rPr>
            </w:pPr>
            <w:r w:rsidRPr="00E56868">
              <w:rPr>
                <w:b/>
                <w:bCs/>
              </w:rPr>
              <w:t>Finansų ministerijai:</w:t>
            </w:r>
          </w:p>
          <w:p w14:paraId="62AF9651" w14:textId="40820BB3" w:rsidR="00CE7D88" w:rsidRDefault="00CE7D88" w:rsidP="00522916">
            <w:pPr>
              <w:spacing w:before="120" w:after="120"/>
              <w:jc w:val="both"/>
            </w:pPr>
            <w:r w:rsidRPr="00712210">
              <w:t>6.1.</w:t>
            </w:r>
            <w:r>
              <w:t>7</w:t>
            </w:r>
            <w:r w:rsidRPr="00712210">
              <w:t xml:space="preserve">. Siekdami užtikrinti skaidrų, nešališką ir nepriklausomą priežiūros institucijų sprendimų priėmimą, siūlome keisti esamą teisinį reguliavimą, aiškiai uždraudžiant priežiūros institucijoms priimti bet kokią finansinę ar materialinę paramą iš ūkio subjektų, kuriuos jos prižiūri – kad būtų eliminuota bet kokia galimybė reguliuojamiems verslo </w:t>
            </w:r>
            <w:r w:rsidRPr="00712210">
              <w:lastRenderedPageBreak/>
              <w:t>subjektams daryti įtaką reguliavimo procesams bei subjektų, glaudžiai susijusių su prižiūrimais subjektais (asociacijų, atstovaujančių lošimų organizatorių interesams, ar kitų susijusių juridinių asmenų) – kad nebūtų sudarytos prielaidos netiesioginei įtakai per tarpininkus</w:t>
            </w:r>
            <w:r>
              <w:t>.</w:t>
            </w:r>
          </w:p>
        </w:tc>
        <w:tc>
          <w:tcPr>
            <w:tcW w:w="6050" w:type="dxa"/>
          </w:tcPr>
          <w:p w14:paraId="173BB8DA" w14:textId="77777777" w:rsidR="00362E73" w:rsidRPr="00362E73" w:rsidRDefault="00362E73" w:rsidP="00362E73">
            <w:pPr>
              <w:widowControl w:val="0"/>
              <w:spacing w:before="120" w:after="120"/>
              <w:jc w:val="both"/>
              <w:rPr>
                <w:snapToGrid w:val="0"/>
              </w:rPr>
            </w:pPr>
            <w:r w:rsidRPr="00362E73">
              <w:rPr>
                <w:snapToGrid w:val="0"/>
              </w:rPr>
              <w:lastRenderedPageBreak/>
              <w:t>Įstatymo projektu siūloma nustatyti draudimą Priežiūros tarnybai priimti bet kokią finansinę ar materialinę paramą iš ūkio subjektų, kuriuos ji prižiūri.</w:t>
            </w:r>
          </w:p>
          <w:p w14:paraId="05268CA7" w14:textId="692F3878" w:rsidR="00CE7D88" w:rsidRPr="002B3452" w:rsidRDefault="00362E73" w:rsidP="00362E73">
            <w:pPr>
              <w:widowControl w:val="0"/>
              <w:spacing w:before="120" w:after="120"/>
              <w:jc w:val="both"/>
              <w:rPr>
                <w:snapToGrid w:val="0"/>
              </w:rPr>
            </w:pPr>
            <w:r w:rsidRPr="00362E73">
              <w:rPr>
                <w:snapToGrid w:val="0"/>
              </w:rPr>
              <w:t>Planuojama Įstatymo projektą teikti svarstyti Lietuvos Respublikos Seimui 2026 m. pavasario sesijoje.</w:t>
            </w:r>
          </w:p>
        </w:tc>
        <w:tc>
          <w:tcPr>
            <w:tcW w:w="2945" w:type="dxa"/>
          </w:tcPr>
          <w:p w14:paraId="31B2C109" w14:textId="77777777" w:rsidR="00CE7D88" w:rsidRDefault="005902A7" w:rsidP="00522916">
            <w:pPr>
              <w:widowControl w:val="0"/>
              <w:spacing w:before="120" w:after="120"/>
              <w:rPr>
                <w:b/>
                <w:bCs/>
                <w:snapToGrid w:val="0"/>
                <w:color w:val="2E74B5" w:themeColor="accent1" w:themeShade="BF"/>
              </w:rPr>
            </w:pPr>
            <w:r>
              <w:rPr>
                <w:b/>
                <w:bCs/>
                <w:snapToGrid w:val="0"/>
                <w:color w:val="2E74B5" w:themeColor="accent1" w:themeShade="BF"/>
              </w:rPr>
              <w:t>Pasiūlymas į</w:t>
            </w:r>
            <w:r w:rsidR="000D414F" w:rsidRPr="000D414F">
              <w:rPr>
                <w:b/>
                <w:bCs/>
                <w:snapToGrid w:val="0"/>
                <w:color w:val="2E74B5" w:themeColor="accent1" w:themeShade="BF"/>
              </w:rPr>
              <w:t>gyvendinama</w:t>
            </w:r>
            <w:r>
              <w:rPr>
                <w:b/>
                <w:bCs/>
                <w:snapToGrid w:val="0"/>
                <w:color w:val="2E74B5" w:themeColor="accent1" w:themeShade="BF"/>
              </w:rPr>
              <w:t>s</w:t>
            </w:r>
          </w:p>
          <w:p w14:paraId="32EE935F" w14:textId="393F0AD5" w:rsidR="0052782A" w:rsidRPr="0052782A" w:rsidRDefault="0052782A" w:rsidP="007E7E8F">
            <w:pPr>
              <w:widowControl w:val="0"/>
              <w:spacing w:before="120" w:after="120"/>
              <w:jc w:val="both"/>
              <w:rPr>
                <w:snapToGrid w:val="0"/>
              </w:rPr>
            </w:pPr>
            <w:r w:rsidRPr="0052782A">
              <w:rPr>
                <w:snapToGrid w:val="0"/>
              </w:rPr>
              <w:t xml:space="preserve">Atkreiptinas dėmesys, kad </w:t>
            </w:r>
            <w:r w:rsidR="00403378">
              <w:rPr>
                <w:snapToGrid w:val="0"/>
              </w:rPr>
              <w:t xml:space="preserve">STT siūlė draudimą </w:t>
            </w:r>
            <w:r w:rsidR="00403378" w:rsidRPr="00362E73">
              <w:rPr>
                <w:snapToGrid w:val="0"/>
              </w:rPr>
              <w:t xml:space="preserve">priimti bet kokią finansinę ar materialinę paramą iš ūkio subjektų, kuriuos </w:t>
            </w:r>
            <w:r w:rsidR="00403378">
              <w:rPr>
                <w:snapToGrid w:val="0"/>
              </w:rPr>
              <w:t>p</w:t>
            </w:r>
            <w:r w:rsidR="00403378" w:rsidRPr="00362E73">
              <w:rPr>
                <w:snapToGrid w:val="0"/>
              </w:rPr>
              <w:t>rižiūri</w:t>
            </w:r>
            <w:r w:rsidR="00403378">
              <w:rPr>
                <w:snapToGrid w:val="0"/>
              </w:rPr>
              <w:t xml:space="preserve"> ne tik Priežiūros tarnyba, tačiau ir kitos priežiūros institucijos.</w:t>
            </w:r>
          </w:p>
        </w:tc>
      </w:tr>
      <w:tr w:rsidR="00CE7D88" w:rsidRPr="002B3452" w14:paraId="21002004" w14:textId="77777777" w:rsidTr="009F0C4F">
        <w:tc>
          <w:tcPr>
            <w:tcW w:w="2680" w:type="dxa"/>
            <w:vMerge/>
          </w:tcPr>
          <w:p w14:paraId="509A5104" w14:textId="77777777" w:rsidR="00CE7D88" w:rsidRDefault="00CE7D88" w:rsidP="00522916">
            <w:pPr>
              <w:widowControl w:val="0"/>
              <w:spacing w:before="120" w:after="120"/>
              <w:jc w:val="both"/>
            </w:pPr>
          </w:p>
        </w:tc>
        <w:tc>
          <w:tcPr>
            <w:tcW w:w="2747" w:type="dxa"/>
          </w:tcPr>
          <w:p w14:paraId="248E5597" w14:textId="4D526EC8" w:rsidR="00892427" w:rsidRPr="00892427" w:rsidRDefault="00892427" w:rsidP="00522916">
            <w:pPr>
              <w:spacing w:before="120" w:after="120"/>
              <w:jc w:val="both"/>
              <w:rPr>
                <w:b/>
                <w:bCs/>
              </w:rPr>
            </w:pPr>
            <w:r w:rsidRPr="00892427">
              <w:rPr>
                <w:b/>
                <w:bCs/>
              </w:rPr>
              <w:t>Priežiūros tarnybai:</w:t>
            </w:r>
          </w:p>
          <w:p w14:paraId="4B22E457" w14:textId="1E43A7F0" w:rsidR="00CE7D88" w:rsidRPr="00E56868" w:rsidRDefault="00F754B5" w:rsidP="00522916">
            <w:pPr>
              <w:spacing w:before="120" w:after="120"/>
              <w:jc w:val="both"/>
              <w:rPr>
                <w:b/>
                <w:bCs/>
              </w:rPr>
            </w:pPr>
            <w:r>
              <w:t xml:space="preserve">6.2.4. </w:t>
            </w:r>
            <w:r w:rsidR="00CE7D88" w:rsidRPr="00BC3967">
              <w:t xml:space="preserve">Siekdami užtikrinti paramos gavimo ir naudojimo skaidrumą, siūlome viešai </w:t>
            </w:r>
            <w:r w:rsidR="00CE7D88">
              <w:t>pa</w:t>
            </w:r>
            <w:r w:rsidR="00CE7D88" w:rsidRPr="00BC3967">
              <w:t>skelbti visą informaciją apie Priežiūros tarnybos gautą paramą, nurodant paramos šaltinį, paramos dydį ir formą, paramos tikslinį panaudojimą</w:t>
            </w:r>
            <w:r w:rsidR="00CE7D88">
              <w:t>.</w:t>
            </w:r>
          </w:p>
        </w:tc>
        <w:tc>
          <w:tcPr>
            <w:tcW w:w="6050" w:type="dxa"/>
          </w:tcPr>
          <w:p w14:paraId="3108C653" w14:textId="77777777" w:rsidR="00CE7D88" w:rsidRDefault="00CE7D88" w:rsidP="00E56868">
            <w:pPr>
              <w:widowControl w:val="0"/>
              <w:spacing w:before="120" w:after="120"/>
              <w:jc w:val="both"/>
              <w:rPr>
                <w:snapToGrid w:val="0"/>
              </w:rPr>
            </w:pPr>
            <w:r>
              <w:rPr>
                <w:snapToGrid w:val="0"/>
              </w:rPr>
              <w:t xml:space="preserve">Priežiūros tarnybos interneto svetainėje 2025 m. gegužės 7 d. paskelbta informacija apie gautą paramą ir jos panaudojimą </w:t>
            </w:r>
            <w:hyperlink r:id="rId15" w:history="1">
              <w:r w:rsidRPr="00DD3ACC">
                <w:rPr>
                  <w:rStyle w:val="Hipersaitas"/>
                  <w:snapToGrid w:val="0"/>
                </w:rPr>
                <w:t>https://lpt.lrv.lt/lt/administracine-informacija/gautos-paramos-panaudojimas/</w:t>
              </w:r>
            </w:hyperlink>
            <w:r>
              <w:rPr>
                <w:snapToGrid w:val="0"/>
              </w:rPr>
              <w:t xml:space="preserve">. </w:t>
            </w:r>
          </w:p>
          <w:p w14:paraId="38AD2C27" w14:textId="7A6D992A" w:rsidR="00CE7D88" w:rsidRPr="00DD3ACC" w:rsidRDefault="00CE7D88" w:rsidP="00E56868">
            <w:pPr>
              <w:widowControl w:val="0"/>
              <w:spacing w:before="120" w:after="120"/>
              <w:jc w:val="both"/>
            </w:pPr>
            <w:r>
              <w:rPr>
                <w:snapToGrid w:val="0"/>
              </w:rPr>
              <w:t>2025 m. balandžio 30 d. panaikintas Priežiūros tarnybos paramos gavėjo statusas</w:t>
            </w:r>
            <w:r w:rsidR="00E706A0">
              <w:rPr>
                <w:rStyle w:val="Puslapioinaosnuoroda"/>
                <w:snapToGrid w:val="0"/>
              </w:rPr>
              <w:footnoteReference w:id="2"/>
            </w:r>
            <w:r>
              <w:rPr>
                <w:snapToGrid w:val="0"/>
              </w:rPr>
              <w:t xml:space="preserve">. </w:t>
            </w:r>
          </w:p>
          <w:p w14:paraId="149EA7F0" w14:textId="77777777" w:rsidR="00CE7D88" w:rsidRDefault="00CE7D88" w:rsidP="00522916">
            <w:pPr>
              <w:widowControl w:val="0"/>
              <w:spacing w:before="120" w:after="120"/>
              <w:jc w:val="both"/>
              <w:rPr>
                <w:snapToGrid w:val="0"/>
              </w:rPr>
            </w:pPr>
          </w:p>
        </w:tc>
        <w:tc>
          <w:tcPr>
            <w:tcW w:w="2945" w:type="dxa"/>
          </w:tcPr>
          <w:p w14:paraId="259D5CDC" w14:textId="450FCB8F" w:rsidR="00CE7D88" w:rsidRPr="00A90D2C" w:rsidRDefault="00903C77" w:rsidP="00522916">
            <w:pPr>
              <w:widowControl w:val="0"/>
              <w:spacing w:before="120" w:after="120"/>
              <w:rPr>
                <w:b/>
                <w:bCs/>
                <w:snapToGrid w:val="0"/>
              </w:rPr>
            </w:pPr>
            <w:r>
              <w:rPr>
                <w:b/>
                <w:bCs/>
                <w:snapToGrid w:val="0"/>
                <w:color w:val="00B050"/>
              </w:rPr>
              <w:t>Pasiūlymas į</w:t>
            </w:r>
            <w:r w:rsidR="00A90D2C" w:rsidRPr="00A90D2C">
              <w:rPr>
                <w:b/>
                <w:bCs/>
                <w:snapToGrid w:val="0"/>
                <w:color w:val="00B050"/>
              </w:rPr>
              <w:t>gyvendinta</w:t>
            </w:r>
            <w:r>
              <w:rPr>
                <w:b/>
                <w:bCs/>
                <w:snapToGrid w:val="0"/>
                <w:color w:val="00B050"/>
              </w:rPr>
              <w:t>s</w:t>
            </w:r>
          </w:p>
        </w:tc>
      </w:tr>
      <w:tr w:rsidR="0037500E" w:rsidRPr="002B3452" w14:paraId="22959D72" w14:textId="77777777" w:rsidTr="009F0C4F">
        <w:tc>
          <w:tcPr>
            <w:tcW w:w="14422" w:type="dxa"/>
            <w:gridSpan w:val="4"/>
          </w:tcPr>
          <w:p w14:paraId="7D0421E7" w14:textId="77777777" w:rsidR="0037500E" w:rsidRPr="008F1D8D" w:rsidRDefault="0037500E" w:rsidP="00187C33">
            <w:pPr>
              <w:pStyle w:val="Sraopastraipa"/>
              <w:widowControl w:val="0"/>
              <w:numPr>
                <w:ilvl w:val="0"/>
                <w:numId w:val="1"/>
              </w:numPr>
              <w:jc w:val="center"/>
              <w:rPr>
                <w:i/>
                <w:snapToGrid w:val="0"/>
              </w:rPr>
            </w:pPr>
            <w:r w:rsidRPr="008F1D8D">
              <w:rPr>
                <w:i/>
                <w:snapToGrid w:val="0"/>
              </w:rPr>
              <w:t>Kitos antikorupcinės pastabos</w:t>
            </w:r>
          </w:p>
        </w:tc>
      </w:tr>
      <w:tr w:rsidR="00FF1DF0" w:rsidRPr="002B3452" w14:paraId="5F7D1D8A" w14:textId="77777777" w:rsidTr="009F0C4F">
        <w:tc>
          <w:tcPr>
            <w:tcW w:w="2680" w:type="dxa"/>
          </w:tcPr>
          <w:p w14:paraId="60C5E213" w14:textId="3E9ECA98" w:rsidR="0037500E" w:rsidRPr="002B3452" w:rsidRDefault="00D447FC" w:rsidP="005958FB">
            <w:pPr>
              <w:widowControl w:val="0"/>
              <w:spacing w:before="120" w:after="120"/>
              <w:jc w:val="both"/>
              <w:rPr>
                <w:snapToGrid w:val="0"/>
              </w:rPr>
            </w:pPr>
            <w:r>
              <w:t xml:space="preserve">5.2.1. </w:t>
            </w:r>
            <w:r w:rsidR="009279B5" w:rsidRPr="00B178F2">
              <w:t xml:space="preserve">Nuolatinių komisijų veiklos skaidrumo trūkumas kelia neobjektyvių ir </w:t>
            </w:r>
            <w:r w:rsidR="009279B5" w:rsidRPr="00B178F2">
              <w:lastRenderedPageBreak/>
              <w:t>neskaidrių sprendimų riziką. Komisijų išvadose nėra nurodomi balsavimo rezultatai, t. y. neatskleidžiama, ar sprendimas buvo priimtas vienbalsiai, ar balsų dauguma, ar buvo komisijos narių, nepritariančių siūlymams. Nėra aiškaus mechanizmo, leidžiančio patikrinti, ar sprendimas buvo priimtas skaidriai ir ar visų komisijos narių nuomonės buvo išgirstos</w:t>
            </w:r>
            <w:r w:rsidR="009279B5">
              <w:t>.</w:t>
            </w:r>
          </w:p>
        </w:tc>
        <w:tc>
          <w:tcPr>
            <w:tcW w:w="2747" w:type="dxa"/>
          </w:tcPr>
          <w:p w14:paraId="0CAD41D4" w14:textId="77777777" w:rsidR="005958FB" w:rsidRPr="005958FB" w:rsidRDefault="005958FB" w:rsidP="005958FB">
            <w:pPr>
              <w:widowControl w:val="0"/>
              <w:spacing w:before="120" w:after="120"/>
              <w:jc w:val="both"/>
              <w:rPr>
                <w:b/>
                <w:bCs/>
              </w:rPr>
            </w:pPr>
            <w:r w:rsidRPr="005958FB">
              <w:rPr>
                <w:b/>
                <w:bCs/>
              </w:rPr>
              <w:lastRenderedPageBreak/>
              <w:t>Priežiūros tarnybai:</w:t>
            </w:r>
          </w:p>
          <w:p w14:paraId="4A3CEA74" w14:textId="3F3F8F0C" w:rsidR="00D55A77" w:rsidRDefault="00B4391D" w:rsidP="005958FB">
            <w:pPr>
              <w:widowControl w:val="0"/>
              <w:spacing w:before="120" w:after="120"/>
              <w:jc w:val="both"/>
            </w:pPr>
            <w:r>
              <w:t xml:space="preserve">6.4.1. </w:t>
            </w:r>
            <w:r w:rsidR="009279B5" w:rsidRPr="00290F2F">
              <w:t xml:space="preserve">Siekdami sumažinti galimą nepotizmo, vidinės </w:t>
            </w:r>
            <w:r w:rsidR="009279B5" w:rsidRPr="00290F2F">
              <w:lastRenderedPageBreak/>
              <w:t xml:space="preserve">įtakos ar interesų konflikto riziką bei užtikrinti objektyvesnį, skaidresnį ir </w:t>
            </w:r>
            <w:proofErr w:type="spellStart"/>
            <w:r w:rsidR="009279B5" w:rsidRPr="00290F2F">
              <w:t>atskaitingesnį</w:t>
            </w:r>
            <w:proofErr w:type="spellEnd"/>
            <w:r w:rsidR="009279B5" w:rsidRPr="00290F2F">
              <w:t xml:space="preserve"> sprendimų priėmimo procesą, siūlome keisti ALĮ pažeidimų nagrinėjimo komisijos, sudarytos Priežiūros tarnybos direktoriaus 2021-09-17 įsakymu Nr. DIE-590 (su vėlesniais pakeitimais) bei </w:t>
            </w:r>
            <w:r w:rsidR="00BF1D4A">
              <w:t xml:space="preserve">Lietuvos Respublikos pinigų plovimo ir teroristų finansavimo prevencijos įstatymo (toliau – </w:t>
            </w:r>
            <w:r w:rsidR="009279B5" w:rsidRPr="00290F2F">
              <w:t>PPTFPĮ</w:t>
            </w:r>
            <w:r w:rsidR="00BF1D4A">
              <w:t>)</w:t>
            </w:r>
            <w:r w:rsidR="009279B5" w:rsidRPr="00290F2F">
              <w:t xml:space="preserve"> pažeidimų nagrinėjimo komisijos, sudarytos Priežiūros tarnybos direktoriaus 2019-01-04 įsakymu Nr. P-3, sudėtį, kad narių daugumos nesietų tiesioginio pavaldumo santykiai. </w:t>
            </w:r>
          </w:p>
          <w:p w14:paraId="227ECD91" w14:textId="105FE766" w:rsidR="0037500E" w:rsidRPr="002B3452" w:rsidRDefault="009279B5" w:rsidP="005958FB">
            <w:pPr>
              <w:widowControl w:val="0"/>
              <w:spacing w:before="120" w:after="120"/>
              <w:jc w:val="both"/>
              <w:rPr>
                <w:snapToGrid w:val="0"/>
              </w:rPr>
            </w:pPr>
            <w:r w:rsidRPr="00290F2F">
              <w:t xml:space="preserve">Komisijos išvadose </w:t>
            </w:r>
            <w:r w:rsidRPr="00B4391D">
              <w:rPr>
                <w:rStyle w:val="Grietas"/>
                <w:b w:val="0"/>
                <w:bCs w:val="0"/>
              </w:rPr>
              <w:t>aiškiai fiksuoti balsavimo rezultatus</w:t>
            </w:r>
            <w:r w:rsidRPr="00290F2F">
              <w:t xml:space="preserve">, t. y. nurodyti, kaip balsavo kiekvienas komisijos narys, arba aiškiai pažymėti, jei išvada priimta vienbalsiai. Tai padidintų sprendimų </w:t>
            </w:r>
            <w:r w:rsidRPr="00290F2F">
              <w:lastRenderedPageBreak/>
              <w:t>atsekamumą, skaidrumą ir užkirstų kelią galimam individualiam sprendimų šališkumui</w:t>
            </w:r>
            <w:r>
              <w:t>.</w:t>
            </w:r>
          </w:p>
        </w:tc>
        <w:tc>
          <w:tcPr>
            <w:tcW w:w="6050" w:type="dxa"/>
          </w:tcPr>
          <w:p w14:paraId="51617495" w14:textId="1E52C29A" w:rsidR="00D55A77" w:rsidRDefault="00BF1D4A" w:rsidP="005958FB">
            <w:pPr>
              <w:spacing w:before="120" w:after="120"/>
              <w:jc w:val="both"/>
            </w:pPr>
            <w:r w:rsidRPr="00570746">
              <w:rPr>
                <w:snapToGrid w:val="0"/>
              </w:rPr>
              <w:lastRenderedPageBreak/>
              <w:t>2025 m. liepos 3 d.</w:t>
            </w:r>
            <w:r>
              <w:rPr>
                <w:snapToGrid w:val="0"/>
              </w:rPr>
              <w:t xml:space="preserve"> p</w:t>
            </w:r>
            <w:r w:rsidR="000974F2">
              <w:rPr>
                <w:snapToGrid w:val="0"/>
              </w:rPr>
              <w:t>akeist</w:t>
            </w:r>
            <w:r w:rsidR="00673B90">
              <w:rPr>
                <w:snapToGrid w:val="0"/>
              </w:rPr>
              <w:t>os</w:t>
            </w:r>
            <w:r w:rsidR="000974F2">
              <w:rPr>
                <w:snapToGrid w:val="0"/>
              </w:rPr>
              <w:t xml:space="preserve"> </w:t>
            </w:r>
            <w:hyperlink r:id="rId16">
              <w:r w:rsidR="000974F2" w:rsidRPr="7A850C70">
                <w:rPr>
                  <w:rStyle w:val="Hipersaitas"/>
                </w:rPr>
                <w:t>ALĮ pažeidimų nagrinėjimo komisij</w:t>
              </w:r>
              <w:r w:rsidR="00673B90" w:rsidRPr="7A850C70">
                <w:rPr>
                  <w:rStyle w:val="Hipersaitas"/>
                </w:rPr>
                <w:t>ų</w:t>
              </w:r>
            </w:hyperlink>
            <w:r w:rsidR="00673B90">
              <w:t xml:space="preserve"> </w:t>
            </w:r>
            <w:r w:rsidR="000974F2" w:rsidRPr="00290F2F">
              <w:t xml:space="preserve">bei </w:t>
            </w:r>
            <w:hyperlink r:id="rId17">
              <w:r w:rsidR="000974F2" w:rsidRPr="02A0AA95">
                <w:rPr>
                  <w:rStyle w:val="Hipersaitas"/>
                </w:rPr>
                <w:t>PPTFPĮ pažeidimų nagrinėjimo komisijos</w:t>
              </w:r>
            </w:hyperlink>
            <w:r w:rsidR="00673B90">
              <w:t xml:space="preserve"> sudėtys</w:t>
            </w:r>
            <w:r w:rsidR="000974F2" w:rsidRPr="00290F2F">
              <w:t xml:space="preserve">, kad narių nesietų tiesioginio pavaldumo santykiai. </w:t>
            </w:r>
          </w:p>
          <w:p w14:paraId="0A0FFF98" w14:textId="2219C32E" w:rsidR="00D55A77" w:rsidRDefault="00D55A77" w:rsidP="005958FB">
            <w:pPr>
              <w:spacing w:before="120" w:after="120"/>
              <w:jc w:val="both"/>
            </w:pPr>
            <w:r>
              <w:lastRenderedPageBreak/>
              <w:t>Ne vėliau kaip iki 2025 m. spalio 31 d. numatoma p</w:t>
            </w:r>
            <w:r w:rsidRPr="009B4940">
              <w:t>arengti Patariamosios komisijos sprendimui dėl baudos skyrimo ir jos dydžio nustatymo priimti darbo tvarkos aprašo, patvirtinto Lošimų priežiūros tarnybos prie Lietuvos Respublikos finansų ministerijos direktoriaus 2020 m. balandžio 28 d. įsakymu Nr. DIE-256 ,,Dėl Patariamosios komisijos sprendimui dėl baudos skyrimo ir jos dydžio nustatymo priimti darbo tvarkos aprašo patvirtinimo“ pakeitimo projektą, atsižvelgiant į Lietuvos Respublikos Specialiųjų tyrimų tarnybos korupcijos rizikos analizės išvadoje pateiktas antikorupcines pastabas</w:t>
            </w:r>
            <w:r>
              <w:t xml:space="preserve"> ir pasiūlymus, numatant, kad:</w:t>
            </w:r>
          </w:p>
          <w:p w14:paraId="22CD2650" w14:textId="77777777" w:rsidR="00D55A77" w:rsidRDefault="00D55A77" w:rsidP="005958FB">
            <w:pPr>
              <w:pStyle w:val="Sraopastraipa"/>
              <w:numPr>
                <w:ilvl w:val="0"/>
                <w:numId w:val="2"/>
              </w:numPr>
              <w:spacing w:before="120" w:after="120"/>
              <w:jc w:val="both"/>
            </w:pPr>
            <w:r>
              <w:t>k</w:t>
            </w:r>
            <w:r w:rsidRPr="00290F2F">
              <w:t xml:space="preserve">omisijos išvadose </w:t>
            </w:r>
            <w:r>
              <w:t xml:space="preserve">turi būti </w:t>
            </w:r>
            <w:r w:rsidRPr="00D55A77">
              <w:rPr>
                <w:rStyle w:val="Grietas"/>
                <w:b w:val="0"/>
                <w:bCs w:val="0"/>
              </w:rPr>
              <w:t>aiškiai fiksuojami balsavimo rezultatai</w:t>
            </w:r>
            <w:r w:rsidRPr="00290F2F">
              <w:t>, t. y. nurod</w:t>
            </w:r>
            <w:r>
              <w:t>oma</w:t>
            </w:r>
            <w:r w:rsidRPr="00290F2F">
              <w:t>, kaip balsavo kiekvienas komisijos narys, arba aiškiai pažym</w:t>
            </w:r>
            <w:r>
              <w:t>ima</w:t>
            </w:r>
            <w:r w:rsidRPr="00290F2F">
              <w:t>, jei išvada priimta vienbalsiai</w:t>
            </w:r>
            <w:r>
              <w:t xml:space="preserve"> taip pat;</w:t>
            </w:r>
          </w:p>
          <w:p w14:paraId="33439877" w14:textId="77777777" w:rsidR="00D55A77" w:rsidRDefault="00D55A77" w:rsidP="005958FB">
            <w:pPr>
              <w:pStyle w:val="Sraopastraipa"/>
              <w:numPr>
                <w:ilvl w:val="0"/>
                <w:numId w:val="2"/>
              </w:numPr>
              <w:spacing w:before="120" w:after="120"/>
              <w:jc w:val="both"/>
            </w:pPr>
            <w:r>
              <w:t xml:space="preserve">komisijos išvadose turi būti </w:t>
            </w:r>
            <w:r w:rsidRPr="00D55A77">
              <w:t>aiškiai įvardijamos atsakomybės taikymui svarbios aplinkybės – jų skaičius, reikšmingumas ir poveikis galutiniam sprendimui</w:t>
            </w:r>
            <w:r>
              <w:t>;</w:t>
            </w:r>
          </w:p>
          <w:p w14:paraId="433CD90F" w14:textId="77777777" w:rsidR="00D55A77" w:rsidRDefault="00D55A77" w:rsidP="005958FB">
            <w:pPr>
              <w:pStyle w:val="Sraopastraipa"/>
              <w:numPr>
                <w:ilvl w:val="0"/>
                <w:numId w:val="2"/>
              </w:numPr>
              <w:spacing w:before="120" w:after="120"/>
              <w:jc w:val="both"/>
            </w:pPr>
            <w:r>
              <w:t>komisijos išvadose</w:t>
            </w:r>
            <w:r w:rsidRPr="00D55A77">
              <w:t xml:space="preserve"> turi būti nurodomos kiekvieno teisės pažeidimo nagrinėjimo metu objektyviai nustat</w:t>
            </w:r>
            <w:r>
              <w:t>ytos</w:t>
            </w:r>
            <w:r w:rsidRPr="00D55A77">
              <w:t>, poveikio priemonių taikymui reikšmingos kitos aplinkybės.</w:t>
            </w:r>
          </w:p>
          <w:p w14:paraId="75A10545" w14:textId="280CB1DC" w:rsidR="0037500E" w:rsidRPr="002B3452" w:rsidRDefault="0037500E" w:rsidP="005958FB">
            <w:pPr>
              <w:spacing w:before="120" w:after="120"/>
              <w:jc w:val="both"/>
              <w:rPr>
                <w:snapToGrid w:val="0"/>
              </w:rPr>
            </w:pPr>
          </w:p>
        </w:tc>
        <w:tc>
          <w:tcPr>
            <w:tcW w:w="2945" w:type="dxa"/>
          </w:tcPr>
          <w:p w14:paraId="1CE792EB" w14:textId="49B2EA5F" w:rsidR="0037500E" w:rsidRDefault="005D4536" w:rsidP="004939E9">
            <w:pPr>
              <w:widowControl w:val="0"/>
              <w:spacing w:before="120"/>
              <w:jc w:val="both"/>
              <w:rPr>
                <w:b/>
                <w:bCs/>
                <w:snapToGrid w:val="0"/>
                <w:color w:val="0070C0"/>
              </w:rPr>
            </w:pPr>
            <w:r>
              <w:rPr>
                <w:b/>
                <w:bCs/>
                <w:snapToGrid w:val="0"/>
                <w:color w:val="0070C0"/>
              </w:rPr>
              <w:lastRenderedPageBreak/>
              <w:t>Pasiūlymas į</w:t>
            </w:r>
            <w:r w:rsidR="00637576" w:rsidRPr="00637576">
              <w:rPr>
                <w:b/>
                <w:bCs/>
                <w:snapToGrid w:val="0"/>
                <w:color w:val="0070C0"/>
              </w:rPr>
              <w:t>gyvendinama</w:t>
            </w:r>
            <w:r>
              <w:rPr>
                <w:b/>
                <w:bCs/>
                <w:snapToGrid w:val="0"/>
                <w:color w:val="0070C0"/>
              </w:rPr>
              <w:t>s</w:t>
            </w:r>
          </w:p>
          <w:p w14:paraId="3D5420DA" w14:textId="672433D6" w:rsidR="00637576" w:rsidRPr="0081761B" w:rsidRDefault="0081761B" w:rsidP="004939E9">
            <w:pPr>
              <w:widowControl w:val="0"/>
              <w:jc w:val="both"/>
              <w:rPr>
                <w:snapToGrid w:val="0"/>
                <w:color w:val="00B050"/>
              </w:rPr>
            </w:pPr>
            <w:r w:rsidRPr="0081761B">
              <w:rPr>
                <w:snapToGrid w:val="0"/>
              </w:rPr>
              <w:t xml:space="preserve">Pakeista </w:t>
            </w:r>
            <w:r>
              <w:rPr>
                <w:snapToGrid w:val="0"/>
              </w:rPr>
              <w:t xml:space="preserve">komisijų sudėtis tokiu būdu, kad nariai </w:t>
            </w:r>
            <w:r>
              <w:rPr>
                <w:snapToGrid w:val="0"/>
              </w:rPr>
              <w:lastRenderedPageBreak/>
              <w:t>nebūtų susieti tiesioginio pavaldumo santykiais. Planuojama tobulinti komisijos darbo tvarką.</w:t>
            </w:r>
          </w:p>
        </w:tc>
      </w:tr>
      <w:tr w:rsidR="000C68C1" w:rsidRPr="002B3452" w14:paraId="5895B7B1" w14:textId="77777777" w:rsidTr="009F0C4F">
        <w:tc>
          <w:tcPr>
            <w:tcW w:w="2680" w:type="dxa"/>
            <w:vMerge w:val="restart"/>
          </w:tcPr>
          <w:p w14:paraId="5DE328DF" w14:textId="2E1A1EE3" w:rsidR="000C68C1" w:rsidRPr="002B3452" w:rsidRDefault="000C68C1" w:rsidP="00F5608B">
            <w:pPr>
              <w:widowControl w:val="0"/>
              <w:spacing w:before="120" w:after="120"/>
              <w:jc w:val="both"/>
              <w:rPr>
                <w:snapToGrid w:val="0"/>
              </w:rPr>
            </w:pPr>
            <w:r>
              <w:lastRenderedPageBreak/>
              <w:t>5.2.2.</w:t>
            </w:r>
            <w:r w:rsidRPr="00D0108D">
              <w:t xml:space="preserve">PPTFPĮ pažeidimus formaliai pripažįstant mažareikšmiais – dėl subjektyvaus vertinimo ir plačios </w:t>
            </w:r>
            <w:proofErr w:type="spellStart"/>
            <w:r w:rsidRPr="00D0108D">
              <w:t>diskrecijos</w:t>
            </w:r>
            <w:proofErr w:type="spellEnd"/>
            <w:r w:rsidRPr="00D0108D">
              <w:t xml:space="preserve"> </w:t>
            </w:r>
            <w:r>
              <w:t>–</w:t>
            </w:r>
            <w:r w:rsidRPr="00D0108D">
              <w:t xml:space="preserve"> dažni teisės pažeidimai lieka be realių pasekmių, o tai sudaro sąlygas ūkio subjektams sistemingai ignoruoti reguliavimą</w:t>
            </w:r>
            <w:r>
              <w:t xml:space="preserve">. </w:t>
            </w:r>
            <w:r w:rsidRPr="001220F0">
              <w:t xml:space="preserve">Atsakomybės taikymo procese ne visada užtikrinamas šalių lygiateisiškumo principas, nes vertinant pažeidimus trūksta aiškių, vienodų ir objektyvių kriterijų, o skirtingos aplinkybės gali būti interpretuojamos selektyviai arba taikomos dviprasmiškai: nėra </w:t>
            </w:r>
            <w:r>
              <w:t xml:space="preserve">aiškiai nustatoma, kokią </w:t>
            </w:r>
            <w:r w:rsidRPr="000974F2">
              <w:rPr>
                <w:rStyle w:val="Grietas"/>
                <w:b w:val="0"/>
                <w:bCs w:val="0"/>
              </w:rPr>
              <w:t>finansinę naudą gavo pažeidimą padariusi bendrovė</w:t>
            </w:r>
            <w:r w:rsidRPr="000974F2">
              <w:rPr>
                <w:b/>
                <w:bCs/>
              </w:rPr>
              <w:t>,</w:t>
            </w:r>
            <w:r>
              <w:t xml:space="preserve"> kiek ji išvengė nuostolių ar kokio dydžio žalą patyrė kiti rinkos dalyviai ar valstybė. Tai </w:t>
            </w:r>
            <w:r>
              <w:lastRenderedPageBreak/>
              <w:t xml:space="preserve">gali lemti </w:t>
            </w:r>
            <w:r w:rsidRPr="000974F2">
              <w:rPr>
                <w:rStyle w:val="Grietas"/>
                <w:b w:val="0"/>
                <w:bCs w:val="0"/>
              </w:rPr>
              <w:t>neadekvačias baudas</w:t>
            </w:r>
            <w:r w:rsidRPr="000974F2">
              <w:rPr>
                <w:b/>
                <w:bCs/>
              </w:rPr>
              <w:t>,</w:t>
            </w:r>
            <w:r>
              <w:t xml:space="preserve"> neatspindinčias realios pažeidimo reikšmės. </w:t>
            </w:r>
            <w:r w:rsidRPr="001220F0">
              <w:t>Neaiškus subjekto padėtį bloginančių aplinkybių vertinimas – jų sąrašas nėra baigtinis, todėl skirtingose situacijose gali būti taikomi nevienodi kriterijai, didinant teisinio neapibrėžtumo ir galimo šališkumo riziką</w:t>
            </w:r>
            <w:r>
              <w:t xml:space="preserve">; atsakomybės taikymui reikšmingos aplinkybės, nesant konkrečiai įvardinto jų skaičiaus, reikšmingumo, galimai, du kartus vertinamos </w:t>
            </w:r>
            <w:r w:rsidRPr="000974F2">
              <w:rPr>
                <w:rStyle w:val="Grietas"/>
                <w:b w:val="0"/>
                <w:bCs w:val="0"/>
              </w:rPr>
              <w:t>tiek antrame, tiek trečiame etape</w:t>
            </w:r>
            <w:r w:rsidRPr="000974F2">
              <w:rPr>
                <w:b/>
                <w:bCs/>
              </w:rPr>
              <w:t>,</w:t>
            </w:r>
            <w:r>
              <w:t xml:space="preserve"> o tai gali lemti nepagrįstą baudos dydžio padidėjimą arba sumažėjimą, sukuriant </w:t>
            </w:r>
            <w:r w:rsidRPr="000974F2">
              <w:rPr>
                <w:rStyle w:val="Grietas"/>
                <w:b w:val="0"/>
                <w:bCs w:val="0"/>
              </w:rPr>
              <w:t>nelygiavertę sankcijų taikymo praktiką</w:t>
            </w:r>
            <w:r>
              <w:rPr>
                <w:rStyle w:val="Grietas"/>
                <w:b w:val="0"/>
                <w:bCs w:val="0"/>
              </w:rPr>
              <w:t>.</w:t>
            </w:r>
            <w:r>
              <w:rPr>
                <w:rStyle w:val="Grietas"/>
              </w:rPr>
              <w:t xml:space="preserve"> </w:t>
            </w:r>
          </w:p>
        </w:tc>
        <w:tc>
          <w:tcPr>
            <w:tcW w:w="2747" w:type="dxa"/>
          </w:tcPr>
          <w:p w14:paraId="0756D3B0" w14:textId="2A7E3A5B" w:rsidR="000C68C1" w:rsidRPr="00176C98" w:rsidRDefault="000C68C1" w:rsidP="00F5608B">
            <w:pPr>
              <w:spacing w:before="120" w:after="120"/>
              <w:jc w:val="both"/>
              <w:rPr>
                <w:b/>
                <w:bCs/>
              </w:rPr>
            </w:pPr>
            <w:r w:rsidRPr="00176C98">
              <w:rPr>
                <w:b/>
                <w:bCs/>
              </w:rPr>
              <w:lastRenderedPageBreak/>
              <w:t>Priežiūros tarnybai:</w:t>
            </w:r>
          </w:p>
          <w:p w14:paraId="2B68163B" w14:textId="77777777" w:rsidR="000C68C1" w:rsidRDefault="000C68C1" w:rsidP="00F5608B">
            <w:pPr>
              <w:spacing w:before="120" w:after="120"/>
              <w:jc w:val="both"/>
            </w:pPr>
            <w:r w:rsidRPr="004874DB">
              <w:t xml:space="preserve">6.4.2. Siekdami </w:t>
            </w:r>
            <w:r w:rsidRPr="00C13BD4">
              <w:t>užtikrinti lošimo bendrovių lygiateisiškumą teisės pažeidimų nagrinėjimo procese, skaidrią ir nuoseklią jų priežiūrą bei vienodą poveikio priemonių taikymo praktiką</w:t>
            </w:r>
            <w:r w:rsidRPr="004874DB">
              <w:t xml:space="preserve"> </w:t>
            </w:r>
            <w:r>
              <w:t xml:space="preserve">bei </w:t>
            </w:r>
            <w:r w:rsidRPr="004874DB">
              <w:t>tinkamos ir adekvačios ALĮ ir PPTFPĮ pažeidimų prevencijos, siūlome</w:t>
            </w:r>
            <w:r>
              <w:t>:</w:t>
            </w:r>
          </w:p>
          <w:p w14:paraId="459E554C" w14:textId="76FF9B69" w:rsidR="000C68C1" w:rsidRPr="00FB3748" w:rsidRDefault="000C68C1" w:rsidP="00F5608B">
            <w:pPr>
              <w:spacing w:before="120" w:after="120"/>
              <w:jc w:val="both"/>
            </w:pPr>
            <w:r>
              <w:t>6.4.2.1. P</w:t>
            </w:r>
            <w:r w:rsidRPr="00557E8C">
              <w:t>eržiūrėti mažareikšmių pažeidimų kriterijus ir sugriežtinti jų pripažinim</w:t>
            </w:r>
            <w:r>
              <w:t>o</w:t>
            </w:r>
            <w:r w:rsidRPr="00557E8C">
              <w:t xml:space="preserve"> PPTFPĮ pažeidimų atvejais, kad nebūtų galimybės PPTFPĮ pažeidimus darančioms bendrovėms sistemingai išvengti atsakomybės</w:t>
            </w:r>
            <w:r>
              <w:t>.</w:t>
            </w:r>
          </w:p>
          <w:p w14:paraId="6EA3E8DF" w14:textId="77777777" w:rsidR="000C68C1" w:rsidRPr="002B3452" w:rsidRDefault="000C68C1" w:rsidP="00D07C71">
            <w:pPr>
              <w:spacing w:before="120" w:after="120"/>
              <w:jc w:val="both"/>
              <w:rPr>
                <w:snapToGrid w:val="0"/>
              </w:rPr>
            </w:pPr>
          </w:p>
        </w:tc>
        <w:tc>
          <w:tcPr>
            <w:tcW w:w="6050" w:type="dxa"/>
          </w:tcPr>
          <w:p w14:paraId="2129A880" w14:textId="0A1812C3" w:rsidR="000C68C1" w:rsidRPr="00B27574" w:rsidRDefault="000C68C1" w:rsidP="00F5608B">
            <w:pPr>
              <w:spacing w:before="120" w:after="120"/>
              <w:jc w:val="both"/>
              <w:rPr>
                <w:color w:val="000000" w:themeColor="text1"/>
              </w:rPr>
            </w:pPr>
            <w:r>
              <w:rPr>
                <w:snapToGrid w:val="0"/>
              </w:rPr>
              <w:t xml:space="preserve">2025 m. balandžio 30 d. parengtas </w:t>
            </w:r>
            <w:r w:rsidRPr="00A16163">
              <w:rPr>
                <w:color w:val="000000"/>
              </w:rPr>
              <w:t>Mažareikšmių azartinius lošimus ir loterijas reglamentuojančių teisės aktų reikalavimų pažeidimų kriterij</w:t>
            </w:r>
            <w:r>
              <w:rPr>
                <w:color w:val="000000"/>
              </w:rPr>
              <w:t>ų</w:t>
            </w:r>
            <w:r w:rsidRPr="2541248B">
              <w:rPr>
                <w:color w:val="000000"/>
              </w:rPr>
              <w:t>, patvirtint</w:t>
            </w:r>
            <w:r>
              <w:rPr>
                <w:color w:val="000000"/>
              </w:rPr>
              <w:t>ų</w:t>
            </w:r>
            <w:r w:rsidRPr="2541248B">
              <w:rPr>
                <w:color w:val="000000"/>
              </w:rPr>
              <w:t xml:space="preserve"> Lošimų priežiūros tarnybos prie Lietuvos Respublikos finansų ministerijos direktoriaus </w:t>
            </w:r>
            <w:r w:rsidRPr="2541248B">
              <w:rPr>
                <w:color w:val="000000" w:themeColor="text1"/>
              </w:rPr>
              <w:t xml:space="preserve">2020 m. birželio 29 d. įsakymu Nr. DIE-486 </w:t>
            </w:r>
            <w:r w:rsidRPr="2541248B">
              <w:t xml:space="preserve">„Dėl </w:t>
            </w:r>
            <w:r w:rsidRPr="2541248B">
              <w:rPr>
                <w:color w:val="000000" w:themeColor="text1"/>
              </w:rPr>
              <w:t>mažareikšmių azartinius lošimus ir loterijas reglamentuojančių teisės aktų reikalavimų pažeidimų kriterijų patvirtinimo</w:t>
            </w:r>
            <w:r w:rsidRPr="2541248B">
              <w:t>“</w:t>
            </w:r>
            <w:r>
              <w:t xml:space="preserve">, pakeitimo projektas, kuriame nustatomi griežtesni kriterijai, kuriais vadovaujantis </w:t>
            </w:r>
            <w:r w:rsidRPr="00557E8C">
              <w:t>PPTFPĮ pažeidim</w:t>
            </w:r>
            <w:r>
              <w:t>ai gali būti pripažįstami mažareikšmiais (toliau – Projektas Nr. 2). Projekte Nr. 2 nustatoma, kad m</w:t>
            </w:r>
            <w:r w:rsidRPr="2541248B">
              <w:rPr>
                <w:color w:val="000000" w:themeColor="text1"/>
              </w:rPr>
              <w:t xml:space="preserve">ažareikšmiais pažeidimai gali būti pripažįstami </w:t>
            </w:r>
            <w:r>
              <w:t>d</w:t>
            </w:r>
            <w:r w:rsidRPr="2541248B">
              <w:rPr>
                <w:color w:val="000000" w:themeColor="text1"/>
              </w:rPr>
              <w:t>ėl PPTFPĮ 19 straipsnio 1, 4 ir 9 dalyse nurodytų registracijos žurnalų, pildymo techninės ar spausdinimo klaidos. Taip pat dėl Piniginių operacijų, sandorių ir klientų registracijos žurnalų tvarkymo taisyklių, patvirtintų Finansinių nusikaltimų tyrimo tarnybos prie Lietuvos Respublikos vidaus reikalų ministerijos direktoriaus 2017 m. rugsėjo 4 d. įsakymu Nr. V-129 „Dėl Piniginių operacijų, sandorių ir klientų registracijos žurnalų tvarkymo taisyklių patvirtinimo”, 5-7 ir 9 punktų pažeidimų, jei pildant žurnalus praleidžiama įrašyti asmens ar operacijos duomenis, tačiau asmenį ar operaciją vis tiek galima identifikuoti iš registracijos žurnaluose įrašytų kitų duomenų.</w:t>
            </w:r>
          </w:p>
        </w:tc>
        <w:tc>
          <w:tcPr>
            <w:tcW w:w="2945" w:type="dxa"/>
          </w:tcPr>
          <w:p w14:paraId="02407272" w14:textId="0B1C3D34" w:rsidR="000C68C1" w:rsidRDefault="001B7C42" w:rsidP="00E1377A">
            <w:pPr>
              <w:widowControl w:val="0"/>
              <w:spacing w:before="120"/>
              <w:rPr>
                <w:b/>
                <w:bCs/>
                <w:snapToGrid w:val="0"/>
                <w:color w:val="0070C0"/>
              </w:rPr>
            </w:pPr>
            <w:r>
              <w:rPr>
                <w:b/>
                <w:bCs/>
                <w:snapToGrid w:val="0"/>
                <w:color w:val="0070C0"/>
              </w:rPr>
              <w:t>Pasiūlymas į</w:t>
            </w:r>
            <w:r w:rsidR="000C68C1" w:rsidRPr="00E1377A">
              <w:rPr>
                <w:b/>
                <w:bCs/>
                <w:snapToGrid w:val="0"/>
                <w:color w:val="0070C0"/>
              </w:rPr>
              <w:t>gyvendinama</w:t>
            </w:r>
            <w:r>
              <w:rPr>
                <w:b/>
                <w:bCs/>
                <w:snapToGrid w:val="0"/>
                <w:color w:val="0070C0"/>
              </w:rPr>
              <w:t>s</w:t>
            </w:r>
          </w:p>
          <w:p w14:paraId="56320925" w14:textId="50036061" w:rsidR="000C68C1" w:rsidRPr="002B3452" w:rsidRDefault="000C68C1" w:rsidP="00E8409E">
            <w:pPr>
              <w:widowControl w:val="0"/>
              <w:jc w:val="both"/>
              <w:rPr>
                <w:snapToGrid w:val="0"/>
              </w:rPr>
            </w:pPr>
          </w:p>
        </w:tc>
      </w:tr>
      <w:tr w:rsidR="000C68C1" w:rsidRPr="002B3452" w14:paraId="27D6BB57" w14:textId="77777777" w:rsidTr="009F0C4F">
        <w:tc>
          <w:tcPr>
            <w:tcW w:w="2680" w:type="dxa"/>
            <w:vMerge/>
          </w:tcPr>
          <w:p w14:paraId="44997012" w14:textId="77777777" w:rsidR="000C68C1" w:rsidRDefault="000C68C1" w:rsidP="00F5608B">
            <w:pPr>
              <w:widowControl w:val="0"/>
              <w:spacing w:before="120" w:after="120"/>
              <w:jc w:val="both"/>
            </w:pPr>
          </w:p>
        </w:tc>
        <w:tc>
          <w:tcPr>
            <w:tcW w:w="2747" w:type="dxa"/>
          </w:tcPr>
          <w:p w14:paraId="4D6D4BD0" w14:textId="580B2780" w:rsidR="000C68C1" w:rsidRPr="009848D5" w:rsidRDefault="000C68C1" w:rsidP="00F5608B">
            <w:pPr>
              <w:spacing w:before="120" w:after="120"/>
              <w:jc w:val="both"/>
            </w:pPr>
            <w:r w:rsidRPr="00652E8C">
              <w:t>6.4.2.2.</w:t>
            </w:r>
            <w:r>
              <w:rPr>
                <w:b/>
                <w:bCs/>
              </w:rPr>
              <w:t xml:space="preserve"> </w:t>
            </w:r>
            <w:r>
              <w:t>I</w:t>
            </w:r>
            <w:r w:rsidRPr="00741898">
              <w:t xml:space="preserve">švadose aiškiai įvardyti atsakomybės taikymui svarbias aplinkybes – jų skaičių, </w:t>
            </w:r>
            <w:r w:rsidRPr="00741898">
              <w:lastRenderedPageBreak/>
              <w:t xml:space="preserve">reikšmingumą ir poveikį galutiniam sprendimui, siekiant pašalinti subjektyvaus vertinimo </w:t>
            </w:r>
            <w:r>
              <w:t xml:space="preserve">bei dvigubo baudos mažinimo </w:t>
            </w:r>
            <w:r w:rsidRPr="00741898">
              <w:t>riziką. Taip pat kiekvieno teisės pažeidimo nagrinėjimo metu objektyviai nustatyti, poveikio priemonių taikymui reikšmingas kitas aplinkybes, pavyzdžiui, žalą patyrusių asmenų skaičių, žalos dydį (arba nurodyti, kad jo apskaičiuoti nėra galimybės), pažeidimo trukmę, per paskutinius 2 metus padarytus teisės pažeidimus ar kt.</w:t>
            </w:r>
          </w:p>
        </w:tc>
        <w:tc>
          <w:tcPr>
            <w:tcW w:w="6050" w:type="dxa"/>
          </w:tcPr>
          <w:p w14:paraId="31C92504" w14:textId="77777777" w:rsidR="000C68C1" w:rsidRDefault="000C68C1" w:rsidP="005B5BB1">
            <w:pPr>
              <w:spacing w:before="120" w:after="120"/>
              <w:jc w:val="both"/>
            </w:pPr>
            <w:r>
              <w:lastRenderedPageBreak/>
              <w:t>Ne vėliau kaip iki 2025 m. spalio 31 d. numatoma p</w:t>
            </w:r>
            <w:r w:rsidRPr="009B4940">
              <w:t xml:space="preserve">arengti Patariamosios komisijos sprendimui dėl baudos skyrimo ir jos dydžio nustatymo priimti darbo tvarkos aprašo, patvirtinto Lošimų priežiūros tarnybos prie Lietuvos </w:t>
            </w:r>
            <w:r w:rsidRPr="009B4940">
              <w:lastRenderedPageBreak/>
              <w:t>Respublikos finansų ministerijos direktoriaus 2020 m. balandžio 28 d. įsakymu Nr. DIE-256 ,,Dėl Patariamosios komisijos sprendimui dėl baudos skyrimo ir jos dydžio nustatymo priimti darbo tvarkos aprašo patvirtinimo“ pakeitimo projektą, atsižvelgiant į Lietuvos Respublikos Specialiųjų tyrimų tarnybos korupcijos rizikos analizės išvadoje pateiktas antikorupcines pastabas</w:t>
            </w:r>
            <w:r>
              <w:t xml:space="preserve"> ir pasiūlymus, numatant, kad:</w:t>
            </w:r>
          </w:p>
          <w:p w14:paraId="0C9DCB1F" w14:textId="77777777" w:rsidR="000C68C1" w:rsidRDefault="000C68C1" w:rsidP="005B5BB1">
            <w:pPr>
              <w:pStyle w:val="Sraopastraipa"/>
              <w:numPr>
                <w:ilvl w:val="0"/>
                <w:numId w:val="3"/>
              </w:numPr>
              <w:spacing w:before="120" w:after="120"/>
              <w:jc w:val="both"/>
            </w:pPr>
            <w:r>
              <w:t>k</w:t>
            </w:r>
            <w:r w:rsidRPr="00290F2F">
              <w:t xml:space="preserve">omisijos išvadose </w:t>
            </w:r>
            <w:r>
              <w:t xml:space="preserve">turi būti </w:t>
            </w:r>
            <w:r w:rsidRPr="005D194B">
              <w:rPr>
                <w:rStyle w:val="Grietas"/>
                <w:b w:val="0"/>
                <w:bCs w:val="0"/>
              </w:rPr>
              <w:t>aiškiai fiksuojami balsavimo rezultatai</w:t>
            </w:r>
            <w:r w:rsidRPr="00290F2F">
              <w:t>, t. y. nurod</w:t>
            </w:r>
            <w:r>
              <w:t>oma</w:t>
            </w:r>
            <w:r w:rsidRPr="00290F2F">
              <w:t>, kaip balsavo kiekvienas komisijos narys, arba aiškiai pažym</w:t>
            </w:r>
            <w:r>
              <w:t>ima</w:t>
            </w:r>
            <w:r w:rsidRPr="00290F2F">
              <w:t>, jei išvada priimta vienbalsiai</w:t>
            </w:r>
            <w:r>
              <w:t xml:space="preserve"> taip pat;</w:t>
            </w:r>
          </w:p>
          <w:p w14:paraId="1C860E60" w14:textId="77777777" w:rsidR="000C68C1" w:rsidRDefault="000C68C1" w:rsidP="005B5BB1">
            <w:pPr>
              <w:pStyle w:val="Sraopastraipa"/>
              <w:numPr>
                <w:ilvl w:val="0"/>
                <w:numId w:val="3"/>
              </w:numPr>
              <w:spacing w:before="120" w:after="120"/>
              <w:jc w:val="both"/>
            </w:pPr>
            <w:r>
              <w:t xml:space="preserve">komisijos išvadose turi būti </w:t>
            </w:r>
            <w:r w:rsidRPr="00D55A77">
              <w:t>aiškiai įvardijamos atsakomybės taikymui svarbios aplinkybės – jų skaičius, reikšmingumas ir poveikis galutiniam sprendimui</w:t>
            </w:r>
            <w:r>
              <w:t>;</w:t>
            </w:r>
          </w:p>
          <w:p w14:paraId="75024C44" w14:textId="7DC54C8D" w:rsidR="000C68C1" w:rsidRPr="000C68C1" w:rsidRDefault="000C68C1" w:rsidP="00F5608B">
            <w:pPr>
              <w:pStyle w:val="Sraopastraipa"/>
              <w:numPr>
                <w:ilvl w:val="0"/>
                <w:numId w:val="3"/>
              </w:numPr>
              <w:spacing w:before="120" w:after="120"/>
              <w:jc w:val="both"/>
            </w:pPr>
            <w:r>
              <w:t>komisijos išvadose</w:t>
            </w:r>
            <w:r w:rsidRPr="00D55A77">
              <w:t xml:space="preserve"> turi būti nurodomos kiekvieno teisės pažeidimo nagrinėjimo metu objektyviai nustat</w:t>
            </w:r>
            <w:r>
              <w:t>ytos</w:t>
            </w:r>
            <w:r w:rsidRPr="00D55A77">
              <w:t>, poveikio priemonių taikymui reikšmingos kitos aplinkybės.</w:t>
            </w:r>
          </w:p>
        </w:tc>
        <w:tc>
          <w:tcPr>
            <w:tcW w:w="2945" w:type="dxa"/>
          </w:tcPr>
          <w:p w14:paraId="7434C782" w14:textId="3EDE7E5B" w:rsidR="004442B8" w:rsidRPr="002A116E" w:rsidRDefault="0070370D" w:rsidP="00F5608B">
            <w:pPr>
              <w:widowControl w:val="0"/>
              <w:spacing w:before="120" w:after="120"/>
              <w:rPr>
                <w:b/>
                <w:bCs/>
                <w:snapToGrid w:val="0"/>
              </w:rPr>
            </w:pPr>
            <w:r>
              <w:rPr>
                <w:b/>
                <w:bCs/>
                <w:snapToGrid w:val="0"/>
                <w:color w:val="0070C0"/>
              </w:rPr>
              <w:lastRenderedPageBreak/>
              <w:t>Pasiūlymą p</w:t>
            </w:r>
            <w:r w:rsidR="004442B8">
              <w:rPr>
                <w:b/>
                <w:bCs/>
                <w:snapToGrid w:val="0"/>
                <w:color w:val="0070C0"/>
              </w:rPr>
              <w:t>lanuojama įgyvendinti</w:t>
            </w:r>
          </w:p>
        </w:tc>
      </w:tr>
      <w:tr w:rsidR="000C68C1" w:rsidRPr="002B3452" w14:paraId="527F9801" w14:textId="77777777" w:rsidTr="00EF3522">
        <w:tc>
          <w:tcPr>
            <w:tcW w:w="2680" w:type="dxa"/>
            <w:vMerge/>
          </w:tcPr>
          <w:p w14:paraId="4DBD6DD6" w14:textId="77777777" w:rsidR="000C68C1" w:rsidRDefault="000C68C1" w:rsidP="00F5608B">
            <w:pPr>
              <w:widowControl w:val="0"/>
              <w:spacing w:before="120" w:after="120"/>
              <w:jc w:val="both"/>
            </w:pPr>
          </w:p>
        </w:tc>
        <w:tc>
          <w:tcPr>
            <w:tcW w:w="2747" w:type="dxa"/>
          </w:tcPr>
          <w:p w14:paraId="772B9570" w14:textId="5F08ABDE" w:rsidR="000C68C1" w:rsidRPr="007F0C20" w:rsidRDefault="000C68C1" w:rsidP="00F5608B">
            <w:pPr>
              <w:spacing w:before="120" w:after="120"/>
              <w:jc w:val="both"/>
            </w:pPr>
            <w:r w:rsidRPr="00D07C71">
              <w:t>6.4.2.3.</w:t>
            </w:r>
            <w:r>
              <w:rPr>
                <w:b/>
                <w:bCs/>
              </w:rPr>
              <w:t xml:space="preserve"> </w:t>
            </w:r>
            <w:r w:rsidRPr="00FD6DC9">
              <w:t xml:space="preserve">pakeisti baudų, skiriamų už ALĮ pažeidimus, apskaičiavimo tvarką </w:t>
            </w:r>
            <w:r>
              <w:t xml:space="preserve">reglamentuojančius teisės aktus </w:t>
            </w:r>
            <w:r w:rsidRPr="00FD6DC9">
              <w:t xml:space="preserve">tokiu būdu, kad </w:t>
            </w:r>
            <w:r>
              <w:t>jie</w:t>
            </w:r>
            <w:r w:rsidRPr="00FD6DC9">
              <w:t xml:space="preserve"> atitiktų ALĮ 29</w:t>
            </w:r>
            <w:r w:rsidRPr="00FD6DC9">
              <w:rPr>
                <w:vertAlign w:val="superscript"/>
              </w:rPr>
              <w:t>2</w:t>
            </w:r>
            <w:r w:rsidRPr="00FD6DC9">
              <w:t xml:space="preserve"> straipsnio nuostatas.</w:t>
            </w:r>
          </w:p>
        </w:tc>
        <w:tc>
          <w:tcPr>
            <w:tcW w:w="6050" w:type="dxa"/>
          </w:tcPr>
          <w:p w14:paraId="5E10DCB3" w14:textId="628C5BF5" w:rsidR="000C68C1" w:rsidRDefault="000C68C1" w:rsidP="00346A14">
            <w:pPr>
              <w:spacing w:before="120"/>
              <w:jc w:val="both"/>
              <w:rPr>
                <w:snapToGrid w:val="0"/>
              </w:rPr>
            </w:pPr>
            <w:r>
              <w:t>B</w:t>
            </w:r>
            <w:r w:rsidRPr="00FD6DC9">
              <w:t>audų, skiriamų už ALĮ pažeidimus, apskaičiavimo tvark</w:t>
            </w:r>
            <w:r>
              <w:t xml:space="preserve">a bus pripažinta netekusia galios nuo 2025 m. lapkričio 1 d., kadangi 2025 m. lapkričio 1 d. įsigalioja nauja ALĮ </w:t>
            </w:r>
            <w:r w:rsidRPr="00FD6DC9">
              <w:t>29</w:t>
            </w:r>
            <w:r w:rsidRPr="00FD6DC9">
              <w:rPr>
                <w:vertAlign w:val="superscript"/>
              </w:rPr>
              <w:t>2</w:t>
            </w:r>
            <w:r w:rsidRPr="00FD6DC9">
              <w:t xml:space="preserve"> straipsnio</w:t>
            </w:r>
            <w:r>
              <w:t xml:space="preserve"> redakcija, kurioje nurodomos baudų, skiriamų už ALĮ pažeidimus, apskaičiavimo aiškios ir išsamios taisyklės, o nurodytas ALĮ straipsnis nesuteikia įgaliojimų Priežiūros tarnybai parengti ir patvirtinti vidinę tvarką, pagal kurią ūkio subjektams būtų s</w:t>
            </w:r>
            <w:r w:rsidR="00BD794D">
              <w:t>k</w:t>
            </w:r>
            <w:r>
              <w:t>aičiuojamos baudos.</w:t>
            </w:r>
          </w:p>
        </w:tc>
        <w:tc>
          <w:tcPr>
            <w:tcW w:w="2945" w:type="dxa"/>
          </w:tcPr>
          <w:p w14:paraId="17AAB42C" w14:textId="14D34236" w:rsidR="000C68C1" w:rsidRPr="00485138" w:rsidRDefault="008966AE" w:rsidP="00346A14">
            <w:pPr>
              <w:widowControl w:val="0"/>
              <w:spacing w:before="120"/>
              <w:rPr>
                <w:b/>
                <w:bCs/>
                <w:snapToGrid w:val="0"/>
                <w:color w:val="FF0000"/>
              </w:rPr>
            </w:pPr>
            <w:r>
              <w:rPr>
                <w:b/>
                <w:bCs/>
                <w:snapToGrid w:val="0"/>
                <w:color w:val="FF0000"/>
              </w:rPr>
              <w:t>Pasiūlymo n</w:t>
            </w:r>
            <w:r w:rsidR="008D1F52" w:rsidRPr="00485138">
              <w:rPr>
                <w:b/>
                <w:bCs/>
                <w:snapToGrid w:val="0"/>
                <w:color w:val="FF0000"/>
              </w:rPr>
              <w:t>eplanuojama įgyvendinti</w:t>
            </w:r>
          </w:p>
          <w:p w14:paraId="47EFB856" w14:textId="4ED91E95" w:rsidR="008D1F52" w:rsidRPr="0016465E" w:rsidRDefault="0016465E" w:rsidP="00063046">
            <w:pPr>
              <w:widowControl w:val="0"/>
              <w:spacing w:before="120" w:after="120"/>
              <w:jc w:val="both"/>
              <w:rPr>
                <w:snapToGrid w:val="0"/>
              </w:rPr>
            </w:pPr>
            <w:r w:rsidRPr="0016465E">
              <w:rPr>
                <w:snapToGrid w:val="0"/>
              </w:rPr>
              <w:t xml:space="preserve">Dabartinė </w:t>
            </w:r>
            <w:r w:rsidR="007302F5">
              <w:rPr>
                <w:snapToGrid w:val="0"/>
              </w:rPr>
              <w:t xml:space="preserve">tobulintina </w:t>
            </w:r>
            <w:r w:rsidRPr="0016465E">
              <w:rPr>
                <w:snapToGrid w:val="0"/>
              </w:rPr>
              <w:t>baudų apskaičiavimo tvarka</w:t>
            </w:r>
            <w:r w:rsidR="007302F5">
              <w:rPr>
                <w:snapToGrid w:val="0"/>
              </w:rPr>
              <w:t>, nustatyta Priežiūros tarnybos direktoriaus įsakymu,</w:t>
            </w:r>
            <w:r w:rsidRPr="0016465E">
              <w:rPr>
                <w:snapToGrid w:val="0"/>
              </w:rPr>
              <w:t xml:space="preserve"> nekeičiama, laukiama</w:t>
            </w:r>
            <w:r>
              <w:rPr>
                <w:snapToGrid w:val="0"/>
              </w:rPr>
              <w:t xml:space="preserve"> ALĮ pakeitimų įsigaliojimo </w:t>
            </w:r>
            <w:r w:rsidR="007302F5">
              <w:rPr>
                <w:snapToGrid w:val="0"/>
              </w:rPr>
              <w:t>n</w:t>
            </w:r>
            <w:r>
              <w:rPr>
                <w:snapToGrid w:val="0"/>
              </w:rPr>
              <w:t>uo 2025-11-01</w:t>
            </w:r>
            <w:r w:rsidR="007302F5">
              <w:rPr>
                <w:snapToGrid w:val="0"/>
              </w:rPr>
              <w:t>, kai</w:t>
            </w:r>
            <w:r>
              <w:rPr>
                <w:snapToGrid w:val="0"/>
              </w:rPr>
              <w:t xml:space="preserve"> konkrečių baudų dydžių apskaičiavimo tvarką reglamentuos ALĮ, </w:t>
            </w:r>
            <w:r>
              <w:rPr>
                <w:snapToGrid w:val="0"/>
              </w:rPr>
              <w:lastRenderedPageBreak/>
              <w:t>tad Priežiūros tarnybos direktoriaus nustatyta tvarka neteks galios.</w:t>
            </w:r>
            <w:r w:rsidRPr="0016465E">
              <w:rPr>
                <w:snapToGrid w:val="0"/>
              </w:rPr>
              <w:t xml:space="preserve"> </w:t>
            </w:r>
          </w:p>
        </w:tc>
      </w:tr>
    </w:tbl>
    <w:p w14:paraId="711CD6BD" w14:textId="0FA6DC63" w:rsidR="000C5806" w:rsidRDefault="00063046" w:rsidP="00063046">
      <w:pPr>
        <w:jc w:val="center"/>
      </w:pPr>
      <w:r>
        <w:lastRenderedPageBreak/>
        <w:t>_________________</w:t>
      </w:r>
    </w:p>
    <w:sectPr w:rsidR="000C5806" w:rsidSect="00DC3A5B">
      <w:type w:val="continuous"/>
      <w:pgSz w:w="16838" w:h="11906" w:orient="landscape"/>
      <w:pgMar w:top="1134" w:right="1134"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976D9C" w14:textId="77777777" w:rsidR="00E06F4A" w:rsidRDefault="00E06F4A" w:rsidP="00694944">
      <w:r>
        <w:separator/>
      </w:r>
    </w:p>
  </w:endnote>
  <w:endnote w:type="continuationSeparator" w:id="0">
    <w:p w14:paraId="1A908B43" w14:textId="77777777" w:rsidR="00E06F4A" w:rsidRDefault="00E06F4A" w:rsidP="00694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731383" w14:textId="77777777" w:rsidR="00E06F4A" w:rsidRDefault="00E06F4A" w:rsidP="00694944">
      <w:r>
        <w:separator/>
      </w:r>
    </w:p>
  </w:footnote>
  <w:footnote w:type="continuationSeparator" w:id="0">
    <w:p w14:paraId="60FD2E19" w14:textId="77777777" w:rsidR="00E06F4A" w:rsidRDefault="00E06F4A" w:rsidP="00694944">
      <w:r>
        <w:continuationSeparator/>
      </w:r>
    </w:p>
  </w:footnote>
  <w:footnote w:id="1">
    <w:p w14:paraId="223311F6" w14:textId="77777777" w:rsidR="00AA1D4A" w:rsidRPr="00AA1D4A" w:rsidRDefault="00AA1D4A" w:rsidP="00AA1D4A">
      <w:pPr>
        <w:pStyle w:val="Puslapioinaostekstas"/>
        <w:jc w:val="both"/>
        <w:rPr>
          <w:rFonts w:ascii="Times New Roman" w:hAnsi="Times New Roman"/>
          <w:bCs/>
        </w:rPr>
      </w:pPr>
      <w:r w:rsidRPr="00AA1D4A">
        <w:rPr>
          <w:rStyle w:val="Puslapioinaosnuoroda"/>
          <w:rFonts w:ascii="Times New Roman" w:hAnsi="Times New Roman"/>
        </w:rPr>
        <w:footnoteRef/>
      </w:r>
      <w:r w:rsidRPr="00AA1D4A">
        <w:rPr>
          <w:rFonts w:ascii="Times New Roman" w:hAnsi="Times New Roman"/>
        </w:rPr>
        <w:t xml:space="preserve"> </w:t>
      </w:r>
      <w:r w:rsidRPr="00AA1D4A">
        <w:rPr>
          <w:rFonts w:ascii="Times New Roman" w:hAnsi="Times New Roman"/>
          <w:bCs/>
        </w:rPr>
        <w:t xml:space="preserve">Prieiga internete: </w:t>
      </w:r>
    </w:p>
    <w:p w14:paraId="1C44C557" w14:textId="77777777" w:rsidR="00AA1D4A" w:rsidRPr="00030E75" w:rsidRDefault="002F4D06" w:rsidP="00AA1D4A">
      <w:pPr>
        <w:pStyle w:val="Puslapioinaostekstas"/>
        <w:jc w:val="both"/>
        <w:rPr>
          <w:rFonts w:ascii="Times New Roman" w:hAnsi="Times New Roman"/>
          <w:bCs/>
        </w:rPr>
      </w:pPr>
      <w:hyperlink r:id="rId1" w:history="1">
        <w:r w:rsidR="00AA1D4A" w:rsidRPr="00D058B6">
          <w:rPr>
            <w:rStyle w:val="Hipersaitas"/>
            <w:rFonts w:ascii="Times New Roman" w:hAnsi="Times New Roman"/>
            <w:bCs/>
          </w:rPr>
          <w:t>https://www.stt.lt/korupcijos-prevencija/korupcijos-rizikos-analizes/atliktos-korupcijos-rizikos-analizes/7471/act1135?sqid=923ccbef46ebcbafd6b15618b51ee6eefb898cae</w:t>
        </w:r>
      </w:hyperlink>
      <w:r w:rsidR="00AA1D4A">
        <w:rPr>
          <w:rFonts w:ascii="Times New Roman" w:hAnsi="Times New Roman"/>
          <w:bCs/>
        </w:rPr>
        <w:t xml:space="preserve">. </w:t>
      </w:r>
    </w:p>
    <w:p w14:paraId="41C118AB" w14:textId="15534C36" w:rsidR="00AA1D4A" w:rsidRDefault="00AA1D4A">
      <w:pPr>
        <w:pStyle w:val="Puslapioinaostekstas"/>
      </w:pPr>
    </w:p>
  </w:footnote>
  <w:footnote w:id="2">
    <w:p w14:paraId="5999D4C5" w14:textId="782EB3D2" w:rsidR="00E706A0" w:rsidRPr="00E706A0" w:rsidRDefault="00E706A0" w:rsidP="001C63E6">
      <w:pPr>
        <w:pStyle w:val="Puslapioinaostekstas"/>
        <w:jc w:val="both"/>
        <w:rPr>
          <w:rFonts w:ascii="Times New Roman" w:hAnsi="Times New Roman"/>
        </w:rPr>
      </w:pPr>
      <w:r w:rsidRPr="00E706A0">
        <w:rPr>
          <w:rStyle w:val="Puslapioinaosnuoroda"/>
          <w:rFonts w:ascii="Times New Roman" w:hAnsi="Times New Roman"/>
        </w:rPr>
        <w:footnoteRef/>
      </w:r>
      <w:r w:rsidRPr="00E706A0">
        <w:rPr>
          <w:rFonts w:ascii="Times New Roman" w:hAnsi="Times New Roman"/>
        </w:rPr>
        <w:t xml:space="preserve"> </w:t>
      </w:r>
      <w:r w:rsidR="00BC378B">
        <w:rPr>
          <w:rFonts w:ascii="Times New Roman" w:hAnsi="Times New Roman"/>
        </w:rPr>
        <w:t>Pažymėtina,</w:t>
      </w:r>
      <w:r w:rsidR="001C63E6">
        <w:rPr>
          <w:rFonts w:ascii="Times New Roman" w:hAnsi="Times New Roman"/>
        </w:rPr>
        <w:t xml:space="preserve"> kad, vadovaujantis </w:t>
      </w:r>
      <w:r w:rsidR="00016D56">
        <w:rPr>
          <w:rFonts w:ascii="Times New Roman" w:hAnsi="Times New Roman"/>
        </w:rPr>
        <w:t xml:space="preserve">galiojančių </w:t>
      </w:r>
      <w:r w:rsidR="001C63E6" w:rsidRPr="001C63E6">
        <w:rPr>
          <w:rFonts w:ascii="Times New Roman" w:hAnsi="Times New Roman"/>
        </w:rPr>
        <w:t>Lošimų priežiūros tarnybos prie Lietuvos Respublikos finansų ministerijos nuostat</w:t>
      </w:r>
      <w:r w:rsidR="001C63E6">
        <w:rPr>
          <w:rFonts w:ascii="Times New Roman" w:hAnsi="Times New Roman"/>
        </w:rPr>
        <w:t xml:space="preserve">ų, patvirtintų </w:t>
      </w:r>
      <w:r w:rsidR="001C63E6" w:rsidRPr="001C63E6">
        <w:rPr>
          <w:rFonts w:ascii="Times New Roman" w:hAnsi="Times New Roman"/>
        </w:rPr>
        <w:t>Lietuvos Respublikos finansų ministro</w:t>
      </w:r>
      <w:r w:rsidR="001C63E6">
        <w:rPr>
          <w:rFonts w:ascii="Times New Roman" w:hAnsi="Times New Roman"/>
        </w:rPr>
        <w:t xml:space="preserve"> 2012-02-21</w:t>
      </w:r>
      <w:r w:rsidR="001C63E6" w:rsidRPr="001C63E6">
        <w:rPr>
          <w:rFonts w:ascii="Times New Roman" w:hAnsi="Times New Roman"/>
        </w:rPr>
        <w:t xml:space="preserve"> įsakymu Nr. 1K-062</w:t>
      </w:r>
      <w:r w:rsidR="001C63E6">
        <w:rPr>
          <w:rFonts w:ascii="Times New Roman" w:hAnsi="Times New Roman"/>
        </w:rPr>
        <w:t>, 12.5 papunkčiu,</w:t>
      </w:r>
      <w:r w:rsidR="004C0E61">
        <w:rPr>
          <w:rFonts w:ascii="Times New Roman" w:hAnsi="Times New Roman"/>
        </w:rPr>
        <w:t xml:space="preserve"> Priežiūros t</w:t>
      </w:r>
      <w:r w:rsidR="001C63E6" w:rsidRPr="001C63E6">
        <w:rPr>
          <w:rFonts w:ascii="Times New Roman" w:hAnsi="Times New Roman"/>
        </w:rPr>
        <w:t>arnyba, siekdama jai nustatytų veiklos tikslų ir atlikdama funkcijas, turi teisę gauti paramą Lietuvos Respublikos labdaros ir paramos įstatymo nustatyta tvarka.</w:t>
      </w:r>
      <w:r w:rsidR="00BC378B">
        <w:rPr>
          <w:rFonts w:ascii="Times New Roman" w:hAnsi="Times New Roman"/>
        </w:rPr>
        <w:t xml:space="preserve"> STT siūlė uždrausti ūkio subjektų priežiūrą vykdančioms institucijoms gauti paramą iš </w:t>
      </w:r>
      <w:r w:rsidR="00BC378B" w:rsidRPr="00F81D15">
        <w:rPr>
          <w:rFonts w:ascii="Times New Roman" w:hAnsi="Times New Roman"/>
          <w:u w:val="single"/>
        </w:rPr>
        <w:t>prižiūrimų ūkio subjektų ar su jais glaudžiai susijusių asmenų</w:t>
      </w:r>
      <w:r w:rsidR="00BC378B">
        <w:rPr>
          <w:rFonts w:ascii="Times New Roman" w:hAnsi="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C43D63"/>
    <w:multiLevelType w:val="hybridMultilevel"/>
    <w:tmpl w:val="058ABD0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5C4348F"/>
    <w:multiLevelType w:val="hybridMultilevel"/>
    <w:tmpl w:val="C914B92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2F15AC1"/>
    <w:multiLevelType w:val="hybridMultilevel"/>
    <w:tmpl w:val="2280D6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944"/>
    <w:rsid w:val="00004253"/>
    <w:rsid w:val="00014C02"/>
    <w:rsid w:val="00016D56"/>
    <w:rsid w:val="00023EE8"/>
    <w:rsid w:val="00030E75"/>
    <w:rsid w:val="00040139"/>
    <w:rsid w:val="00051033"/>
    <w:rsid w:val="00052551"/>
    <w:rsid w:val="00057448"/>
    <w:rsid w:val="000628CC"/>
    <w:rsid w:val="00063046"/>
    <w:rsid w:val="0006361B"/>
    <w:rsid w:val="00067CE1"/>
    <w:rsid w:val="000729C1"/>
    <w:rsid w:val="0008003C"/>
    <w:rsid w:val="00091798"/>
    <w:rsid w:val="000928EA"/>
    <w:rsid w:val="000974F2"/>
    <w:rsid w:val="000A4B21"/>
    <w:rsid w:val="000B4322"/>
    <w:rsid w:val="000C0909"/>
    <w:rsid w:val="000C5806"/>
    <w:rsid w:val="000C6712"/>
    <w:rsid w:val="000C68C1"/>
    <w:rsid w:val="000D414F"/>
    <w:rsid w:val="000D5E74"/>
    <w:rsid w:val="000D63E8"/>
    <w:rsid w:val="000E6B0E"/>
    <w:rsid w:val="000E6D43"/>
    <w:rsid w:val="000F1D1A"/>
    <w:rsid w:val="0010139F"/>
    <w:rsid w:val="0010551F"/>
    <w:rsid w:val="00117CAB"/>
    <w:rsid w:val="001221DA"/>
    <w:rsid w:val="0012715C"/>
    <w:rsid w:val="0013335A"/>
    <w:rsid w:val="001427E6"/>
    <w:rsid w:val="0014714B"/>
    <w:rsid w:val="00154D5E"/>
    <w:rsid w:val="0016384C"/>
    <w:rsid w:val="0016465E"/>
    <w:rsid w:val="0016682E"/>
    <w:rsid w:val="00176C98"/>
    <w:rsid w:val="00181991"/>
    <w:rsid w:val="001820B6"/>
    <w:rsid w:val="001873CB"/>
    <w:rsid w:val="00187FE3"/>
    <w:rsid w:val="00194956"/>
    <w:rsid w:val="00195AA5"/>
    <w:rsid w:val="001B7C42"/>
    <w:rsid w:val="001C63E6"/>
    <w:rsid w:val="001D0CC0"/>
    <w:rsid w:val="001E27D8"/>
    <w:rsid w:val="001E6418"/>
    <w:rsid w:val="00201D3A"/>
    <w:rsid w:val="00202015"/>
    <w:rsid w:val="00205E41"/>
    <w:rsid w:val="00205F89"/>
    <w:rsid w:val="00206503"/>
    <w:rsid w:val="00226298"/>
    <w:rsid w:val="00226843"/>
    <w:rsid w:val="0024412E"/>
    <w:rsid w:val="002554E7"/>
    <w:rsid w:val="00270C62"/>
    <w:rsid w:val="00277329"/>
    <w:rsid w:val="00285981"/>
    <w:rsid w:val="00294683"/>
    <w:rsid w:val="002955D3"/>
    <w:rsid w:val="0029694C"/>
    <w:rsid w:val="002A116E"/>
    <w:rsid w:val="002A1711"/>
    <w:rsid w:val="002A2B1E"/>
    <w:rsid w:val="002A72BC"/>
    <w:rsid w:val="002B6F23"/>
    <w:rsid w:val="002C3B5A"/>
    <w:rsid w:val="002D27DA"/>
    <w:rsid w:val="002E62F6"/>
    <w:rsid w:val="002E6C6C"/>
    <w:rsid w:val="002F2B27"/>
    <w:rsid w:val="00301C7D"/>
    <w:rsid w:val="00310F91"/>
    <w:rsid w:val="00315C6E"/>
    <w:rsid w:val="00316566"/>
    <w:rsid w:val="00333DC7"/>
    <w:rsid w:val="003406C8"/>
    <w:rsid w:val="00340C80"/>
    <w:rsid w:val="0034418E"/>
    <w:rsid w:val="00346A14"/>
    <w:rsid w:val="00352A41"/>
    <w:rsid w:val="00352B86"/>
    <w:rsid w:val="00354A9A"/>
    <w:rsid w:val="00354B36"/>
    <w:rsid w:val="00357A10"/>
    <w:rsid w:val="00362E73"/>
    <w:rsid w:val="0037500E"/>
    <w:rsid w:val="00375608"/>
    <w:rsid w:val="003826DC"/>
    <w:rsid w:val="00383F51"/>
    <w:rsid w:val="0038616E"/>
    <w:rsid w:val="00397D01"/>
    <w:rsid w:val="003A0DCD"/>
    <w:rsid w:val="003A36D1"/>
    <w:rsid w:val="003A3983"/>
    <w:rsid w:val="003B1367"/>
    <w:rsid w:val="003D0AD8"/>
    <w:rsid w:val="003D4ADB"/>
    <w:rsid w:val="003E50E6"/>
    <w:rsid w:val="003E60FD"/>
    <w:rsid w:val="003E7DC1"/>
    <w:rsid w:val="003F0E3C"/>
    <w:rsid w:val="003F3D7D"/>
    <w:rsid w:val="003F6044"/>
    <w:rsid w:val="00403378"/>
    <w:rsid w:val="004048C5"/>
    <w:rsid w:val="0041058B"/>
    <w:rsid w:val="00411D67"/>
    <w:rsid w:val="00422FD5"/>
    <w:rsid w:val="00437CE1"/>
    <w:rsid w:val="00442AB7"/>
    <w:rsid w:val="004442B8"/>
    <w:rsid w:val="00454A71"/>
    <w:rsid w:val="004737D2"/>
    <w:rsid w:val="004818D2"/>
    <w:rsid w:val="00485138"/>
    <w:rsid w:val="00486F8D"/>
    <w:rsid w:val="004939E9"/>
    <w:rsid w:val="004A77E8"/>
    <w:rsid w:val="004B3A26"/>
    <w:rsid w:val="004C0E61"/>
    <w:rsid w:val="004C1D02"/>
    <w:rsid w:val="004C36EC"/>
    <w:rsid w:val="004E2524"/>
    <w:rsid w:val="00504C25"/>
    <w:rsid w:val="00512762"/>
    <w:rsid w:val="00515FA6"/>
    <w:rsid w:val="00522916"/>
    <w:rsid w:val="0052782A"/>
    <w:rsid w:val="005323FB"/>
    <w:rsid w:val="00545031"/>
    <w:rsid w:val="00545876"/>
    <w:rsid w:val="005548F1"/>
    <w:rsid w:val="00570746"/>
    <w:rsid w:val="0057132E"/>
    <w:rsid w:val="005902A7"/>
    <w:rsid w:val="005958FB"/>
    <w:rsid w:val="005A3B3C"/>
    <w:rsid w:val="005A4634"/>
    <w:rsid w:val="005A6446"/>
    <w:rsid w:val="005B04D1"/>
    <w:rsid w:val="005B3075"/>
    <w:rsid w:val="005B3BBE"/>
    <w:rsid w:val="005B5BB1"/>
    <w:rsid w:val="005C4E39"/>
    <w:rsid w:val="005C7212"/>
    <w:rsid w:val="005D18BE"/>
    <w:rsid w:val="005D194B"/>
    <w:rsid w:val="005D4536"/>
    <w:rsid w:val="005D4659"/>
    <w:rsid w:val="005D6D48"/>
    <w:rsid w:val="005E1894"/>
    <w:rsid w:val="005F264F"/>
    <w:rsid w:val="005F483A"/>
    <w:rsid w:val="005F6C81"/>
    <w:rsid w:val="00621BA2"/>
    <w:rsid w:val="00625300"/>
    <w:rsid w:val="0062735F"/>
    <w:rsid w:val="0063184D"/>
    <w:rsid w:val="006339DC"/>
    <w:rsid w:val="00637576"/>
    <w:rsid w:val="00651BCB"/>
    <w:rsid w:val="00652E8C"/>
    <w:rsid w:val="00660FEA"/>
    <w:rsid w:val="0066170F"/>
    <w:rsid w:val="006700B4"/>
    <w:rsid w:val="00673B90"/>
    <w:rsid w:val="006771C5"/>
    <w:rsid w:val="006944CB"/>
    <w:rsid w:val="00694944"/>
    <w:rsid w:val="00697F06"/>
    <w:rsid w:val="006A724D"/>
    <w:rsid w:val="006B0B20"/>
    <w:rsid w:val="006B3A24"/>
    <w:rsid w:val="006C5C82"/>
    <w:rsid w:val="006D1956"/>
    <w:rsid w:val="006E01D1"/>
    <w:rsid w:val="006E05FA"/>
    <w:rsid w:val="006E26B4"/>
    <w:rsid w:val="006E71BF"/>
    <w:rsid w:val="006F60D7"/>
    <w:rsid w:val="006F7F5E"/>
    <w:rsid w:val="0070370D"/>
    <w:rsid w:val="00705AF6"/>
    <w:rsid w:val="00705D01"/>
    <w:rsid w:val="00710319"/>
    <w:rsid w:val="00711567"/>
    <w:rsid w:val="0071547F"/>
    <w:rsid w:val="00717949"/>
    <w:rsid w:val="00717958"/>
    <w:rsid w:val="007235C1"/>
    <w:rsid w:val="007302F5"/>
    <w:rsid w:val="00731519"/>
    <w:rsid w:val="00734E2F"/>
    <w:rsid w:val="00743DA6"/>
    <w:rsid w:val="00754956"/>
    <w:rsid w:val="00755960"/>
    <w:rsid w:val="00777169"/>
    <w:rsid w:val="0079153B"/>
    <w:rsid w:val="007924CE"/>
    <w:rsid w:val="0079293B"/>
    <w:rsid w:val="00796CBC"/>
    <w:rsid w:val="007B078F"/>
    <w:rsid w:val="007B33C2"/>
    <w:rsid w:val="007C1EA4"/>
    <w:rsid w:val="007C2258"/>
    <w:rsid w:val="007C295F"/>
    <w:rsid w:val="007C6004"/>
    <w:rsid w:val="007E7E8F"/>
    <w:rsid w:val="007F0C20"/>
    <w:rsid w:val="007F1859"/>
    <w:rsid w:val="00814E17"/>
    <w:rsid w:val="0081761B"/>
    <w:rsid w:val="00826212"/>
    <w:rsid w:val="00827A1F"/>
    <w:rsid w:val="00841425"/>
    <w:rsid w:val="0085392A"/>
    <w:rsid w:val="00874B68"/>
    <w:rsid w:val="00875933"/>
    <w:rsid w:val="00880FD3"/>
    <w:rsid w:val="00885407"/>
    <w:rsid w:val="00891EF6"/>
    <w:rsid w:val="00892427"/>
    <w:rsid w:val="00894A52"/>
    <w:rsid w:val="008966AE"/>
    <w:rsid w:val="008A23B7"/>
    <w:rsid w:val="008B58D4"/>
    <w:rsid w:val="008B636D"/>
    <w:rsid w:val="008C509D"/>
    <w:rsid w:val="008C785D"/>
    <w:rsid w:val="008D1F52"/>
    <w:rsid w:val="008D40BF"/>
    <w:rsid w:val="008E4E5B"/>
    <w:rsid w:val="008F6DF3"/>
    <w:rsid w:val="00903C77"/>
    <w:rsid w:val="00910B53"/>
    <w:rsid w:val="009121A3"/>
    <w:rsid w:val="00915761"/>
    <w:rsid w:val="0092542D"/>
    <w:rsid w:val="009279B5"/>
    <w:rsid w:val="009374B9"/>
    <w:rsid w:val="0093755D"/>
    <w:rsid w:val="0094515A"/>
    <w:rsid w:val="009501FA"/>
    <w:rsid w:val="0097053E"/>
    <w:rsid w:val="00981EE2"/>
    <w:rsid w:val="009848D5"/>
    <w:rsid w:val="00984D1C"/>
    <w:rsid w:val="0098708E"/>
    <w:rsid w:val="00993DBF"/>
    <w:rsid w:val="009B44FC"/>
    <w:rsid w:val="009B4940"/>
    <w:rsid w:val="009B5EEC"/>
    <w:rsid w:val="009D1580"/>
    <w:rsid w:val="009E03B0"/>
    <w:rsid w:val="009E1394"/>
    <w:rsid w:val="009E255C"/>
    <w:rsid w:val="009E3639"/>
    <w:rsid w:val="009E594A"/>
    <w:rsid w:val="009F0C4F"/>
    <w:rsid w:val="00A10571"/>
    <w:rsid w:val="00A14747"/>
    <w:rsid w:val="00A21416"/>
    <w:rsid w:val="00A35A16"/>
    <w:rsid w:val="00A35EB8"/>
    <w:rsid w:val="00A56F47"/>
    <w:rsid w:val="00A577F4"/>
    <w:rsid w:val="00A72329"/>
    <w:rsid w:val="00A737D8"/>
    <w:rsid w:val="00A90849"/>
    <w:rsid w:val="00A90D2C"/>
    <w:rsid w:val="00AA05B7"/>
    <w:rsid w:val="00AA1D4A"/>
    <w:rsid w:val="00AA3BC4"/>
    <w:rsid w:val="00AB4ACE"/>
    <w:rsid w:val="00AB7E4E"/>
    <w:rsid w:val="00AC27A3"/>
    <w:rsid w:val="00AC704C"/>
    <w:rsid w:val="00AF0532"/>
    <w:rsid w:val="00AF16ED"/>
    <w:rsid w:val="00B05824"/>
    <w:rsid w:val="00B079F3"/>
    <w:rsid w:val="00B12078"/>
    <w:rsid w:val="00B12B17"/>
    <w:rsid w:val="00B2318E"/>
    <w:rsid w:val="00B25328"/>
    <w:rsid w:val="00B27574"/>
    <w:rsid w:val="00B37874"/>
    <w:rsid w:val="00B403B6"/>
    <w:rsid w:val="00B4391D"/>
    <w:rsid w:val="00B45AD6"/>
    <w:rsid w:val="00B5086B"/>
    <w:rsid w:val="00B55B17"/>
    <w:rsid w:val="00B62D39"/>
    <w:rsid w:val="00B63A68"/>
    <w:rsid w:val="00B66ADA"/>
    <w:rsid w:val="00B70E26"/>
    <w:rsid w:val="00B747A0"/>
    <w:rsid w:val="00B85DA1"/>
    <w:rsid w:val="00B915E0"/>
    <w:rsid w:val="00B92434"/>
    <w:rsid w:val="00BB32CD"/>
    <w:rsid w:val="00BC0C44"/>
    <w:rsid w:val="00BC378B"/>
    <w:rsid w:val="00BC3E44"/>
    <w:rsid w:val="00BD794D"/>
    <w:rsid w:val="00BD7994"/>
    <w:rsid w:val="00BE7B44"/>
    <w:rsid w:val="00BF00DB"/>
    <w:rsid w:val="00BF0C99"/>
    <w:rsid w:val="00BF1D4A"/>
    <w:rsid w:val="00C002EC"/>
    <w:rsid w:val="00C05823"/>
    <w:rsid w:val="00C05E43"/>
    <w:rsid w:val="00C1495E"/>
    <w:rsid w:val="00C2256E"/>
    <w:rsid w:val="00C34E23"/>
    <w:rsid w:val="00C47BC6"/>
    <w:rsid w:val="00C53629"/>
    <w:rsid w:val="00C56208"/>
    <w:rsid w:val="00C72D27"/>
    <w:rsid w:val="00C8099B"/>
    <w:rsid w:val="00CB7456"/>
    <w:rsid w:val="00CD3B2E"/>
    <w:rsid w:val="00CD3F07"/>
    <w:rsid w:val="00CE7D88"/>
    <w:rsid w:val="00CF37E6"/>
    <w:rsid w:val="00D0522A"/>
    <w:rsid w:val="00D07C71"/>
    <w:rsid w:val="00D07F3C"/>
    <w:rsid w:val="00D17866"/>
    <w:rsid w:val="00D23440"/>
    <w:rsid w:val="00D36B2E"/>
    <w:rsid w:val="00D447FC"/>
    <w:rsid w:val="00D46F41"/>
    <w:rsid w:val="00D46F59"/>
    <w:rsid w:val="00D55A77"/>
    <w:rsid w:val="00D64FB2"/>
    <w:rsid w:val="00D76166"/>
    <w:rsid w:val="00D814A8"/>
    <w:rsid w:val="00D83095"/>
    <w:rsid w:val="00D879F7"/>
    <w:rsid w:val="00D95FFF"/>
    <w:rsid w:val="00DA770A"/>
    <w:rsid w:val="00DC3A5B"/>
    <w:rsid w:val="00DC3FDF"/>
    <w:rsid w:val="00DC43D2"/>
    <w:rsid w:val="00DD3ACC"/>
    <w:rsid w:val="00E06F4A"/>
    <w:rsid w:val="00E0725B"/>
    <w:rsid w:val="00E1377A"/>
    <w:rsid w:val="00E17BCF"/>
    <w:rsid w:val="00E20495"/>
    <w:rsid w:val="00E27F2A"/>
    <w:rsid w:val="00E30407"/>
    <w:rsid w:val="00E349F4"/>
    <w:rsid w:val="00E42E8C"/>
    <w:rsid w:val="00E50680"/>
    <w:rsid w:val="00E56868"/>
    <w:rsid w:val="00E56925"/>
    <w:rsid w:val="00E706A0"/>
    <w:rsid w:val="00E74A79"/>
    <w:rsid w:val="00E8409E"/>
    <w:rsid w:val="00EA107C"/>
    <w:rsid w:val="00EA151A"/>
    <w:rsid w:val="00EA622E"/>
    <w:rsid w:val="00EB5D0B"/>
    <w:rsid w:val="00EC0689"/>
    <w:rsid w:val="00ED4DF8"/>
    <w:rsid w:val="00EE20C4"/>
    <w:rsid w:val="00EF068B"/>
    <w:rsid w:val="00EF2CD9"/>
    <w:rsid w:val="00EF7971"/>
    <w:rsid w:val="00F01848"/>
    <w:rsid w:val="00F05628"/>
    <w:rsid w:val="00F12257"/>
    <w:rsid w:val="00F12938"/>
    <w:rsid w:val="00F13590"/>
    <w:rsid w:val="00F21B9C"/>
    <w:rsid w:val="00F347D7"/>
    <w:rsid w:val="00F35E90"/>
    <w:rsid w:val="00F459EA"/>
    <w:rsid w:val="00F5608B"/>
    <w:rsid w:val="00F6565F"/>
    <w:rsid w:val="00F754B5"/>
    <w:rsid w:val="00F770F7"/>
    <w:rsid w:val="00F81063"/>
    <w:rsid w:val="00F81D15"/>
    <w:rsid w:val="00F94425"/>
    <w:rsid w:val="00FD047F"/>
    <w:rsid w:val="00FE44DE"/>
    <w:rsid w:val="00FE6DDE"/>
    <w:rsid w:val="00FE7FD8"/>
    <w:rsid w:val="00FF0085"/>
    <w:rsid w:val="00FF17A8"/>
    <w:rsid w:val="00FF1DF0"/>
    <w:rsid w:val="00FF76F2"/>
    <w:rsid w:val="02A0AA95"/>
    <w:rsid w:val="14688037"/>
    <w:rsid w:val="1D9C9616"/>
    <w:rsid w:val="2E02D3C8"/>
    <w:rsid w:val="7A850C7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CD6A9"/>
  <w15:chartTrackingRefBased/>
  <w15:docId w15:val="{BBB106CC-3A3C-4D34-8538-5371883D5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line="360" w:lineRule="auto"/>
        <w:ind w:firstLine="85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94944"/>
    <w:pPr>
      <w:spacing w:line="240" w:lineRule="auto"/>
      <w:ind w:firstLine="0"/>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iPriority w:val="99"/>
    <w:rsid w:val="00694944"/>
    <w:rPr>
      <w:rFonts w:ascii="Arial" w:eastAsia="Calibri" w:hAnsi="Arial"/>
      <w:sz w:val="20"/>
      <w:szCs w:val="20"/>
    </w:rPr>
  </w:style>
  <w:style w:type="character" w:customStyle="1" w:styleId="PuslapioinaostekstasDiagrama">
    <w:name w:val="Puslapio išnašos tekstas Diagrama"/>
    <w:basedOn w:val="Numatytasispastraiposriftas"/>
    <w:link w:val="Puslapioinaostekstas"/>
    <w:uiPriority w:val="99"/>
    <w:rsid w:val="00694944"/>
    <w:rPr>
      <w:rFonts w:ascii="Arial" w:eastAsia="Calibri" w:hAnsi="Arial" w:cs="Times New Roman"/>
      <w:sz w:val="20"/>
      <w:szCs w:val="20"/>
      <w:lang w:eastAsia="lt-LT"/>
    </w:rPr>
  </w:style>
  <w:style w:type="character" w:styleId="Puslapioinaosnuoroda">
    <w:name w:val="footnote reference"/>
    <w:uiPriority w:val="99"/>
    <w:rsid w:val="00694944"/>
    <w:rPr>
      <w:rFonts w:cs="Times New Roman"/>
      <w:vertAlign w:val="superscript"/>
    </w:rPr>
  </w:style>
  <w:style w:type="table" w:styleId="Lentelstinklelis">
    <w:name w:val="Table Grid"/>
    <w:basedOn w:val="prastojilentel"/>
    <w:rsid w:val="0037500E"/>
    <w:pPr>
      <w:spacing w:line="240" w:lineRule="auto"/>
      <w:ind w:firstLine="0"/>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Numbering,ERP-List Paragraph,List Paragraph11,List Paragraph111,Medium Grid 1 - Accent 21,List Paragraph2,Buletai,List Paragraph21,lp1,Bullet 1,Use Case List Paragraph,Sąrašo pastraipa1,List Paragraph1,Bullet EY,Paragraph,List Paragr1"/>
    <w:basedOn w:val="prastasis"/>
    <w:link w:val="SraopastraipaDiagrama"/>
    <w:uiPriority w:val="34"/>
    <w:qFormat/>
    <w:rsid w:val="0037500E"/>
    <w:pPr>
      <w:ind w:left="720"/>
      <w:contextualSpacing/>
    </w:pPr>
    <w:rPr>
      <w:szCs w:val="20"/>
      <w:lang w:eastAsia="en-US"/>
    </w:rPr>
  </w:style>
  <w:style w:type="character" w:styleId="Grietas">
    <w:name w:val="Strong"/>
    <w:basedOn w:val="Numatytasispastraiposriftas"/>
    <w:uiPriority w:val="22"/>
    <w:qFormat/>
    <w:rsid w:val="00545031"/>
    <w:rPr>
      <w:b/>
      <w:bCs/>
    </w:rPr>
  </w:style>
  <w:style w:type="character" w:styleId="Hipersaitas">
    <w:name w:val="Hyperlink"/>
    <w:basedOn w:val="Numatytasispastraiposriftas"/>
    <w:uiPriority w:val="99"/>
    <w:unhideWhenUsed/>
    <w:rsid w:val="00DD3ACC"/>
    <w:rPr>
      <w:color w:val="0563C1" w:themeColor="hyperlink"/>
      <w:u w:val="single"/>
    </w:rPr>
  </w:style>
  <w:style w:type="character" w:styleId="Neapdorotaspaminjimas">
    <w:name w:val="Unresolved Mention"/>
    <w:basedOn w:val="Numatytasispastraiposriftas"/>
    <w:uiPriority w:val="99"/>
    <w:semiHidden/>
    <w:unhideWhenUsed/>
    <w:rsid w:val="00DD3ACC"/>
    <w:rPr>
      <w:color w:val="605E5C"/>
      <w:shd w:val="clear" w:color="auto" w:fill="E1DFDD"/>
    </w:rPr>
  </w:style>
  <w:style w:type="paragraph" w:styleId="Antrats">
    <w:name w:val="header"/>
    <w:basedOn w:val="prastasis"/>
    <w:link w:val="AntratsDiagrama"/>
    <w:uiPriority w:val="99"/>
    <w:semiHidden/>
    <w:unhideWhenUsed/>
    <w:rsid w:val="00ED4DF8"/>
    <w:pPr>
      <w:tabs>
        <w:tab w:val="center" w:pos="4680"/>
        <w:tab w:val="right" w:pos="9360"/>
      </w:tabs>
    </w:pPr>
  </w:style>
  <w:style w:type="character" w:customStyle="1" w:styleId="AntratsDiagrama">
    <w:name w:val="Antraštės Diagrama"/>
    <w:basedOn w:val="Numatytasispastraiposriftas"/>
    <w:link w:val="Antrats"/>
    <w:uiPriority w:val="99"/>
    <w:semiHidden/>
    <w:rsid w:val="006944CB"/>
    <w:rPr>
      <w:rFonts w:ascii="Times New Roman" w:eastAsia="Times New Roman" w:hAnsi="Times New Roman" w:cs="Times New Roman"/>
      <w:sz w:val="24"/>
      <w:szCs w:val="24"/>
      <w:lang w:eastAsia="lt-LT"/>
    </w:rPr>
  </w:style>
  <w:style w:type="paragraph" w:styleId="Porat">
    <w:name w:val="footer"/>
    <w:basedOn w:val="prastasis"/>
    <w:link w:val="PoratDiagrama"/>
    <w:uiPriority w:val="99"/>
    <w:semiHidden/>
    <w:unhideWhenUsed/>
    <w:rsid w:val="00ED4DF8"/>
    <w:pPr>
      <w:tabs>
        <w:tab w:val="center" w:pos="4680"/>
        <w:tab w:val="right" w:pos="9360"/>
      </w:tabs>
    </w:pPr>
  </w:style>
  <w:style w:type="character" w:customStyle="1" w:styleId="PoratDiagrama">
    <w:name w:val="Poraštė Diagrama"/>
    <w:basedOn w:val="Numatytasispastraiposriftas"/>
    <w:link w:val="Porat"/>
    <w:uiPriority w:val="99"/>
    <w:semiHidden/>
    <w:rsid w:val="006944CB"/>
    <w:rPr>
      <w:rFonts w:ascii="Times New Roman" w:eastAsia="Times New Roman" w:hAnsi="Times New Roman" w:cs="Times New Roman"/>
      <w:sz w:val="24"/>
      <w:szCs w:val="24"/>
      <w:lang w:eastAsia="lt-LT"/>
    </w:rPr>
  </w:style>
  <w:style w:type="character" w:styleId="Perirtashipersaitas">
    <w:name w:val="FollowedHyperlink"/>
    <w:basedOn w:val="Numatytasispastraiposriftas"/>
    <w:uiPriority w:val="99"/>
    <w:semiHidden/>
    <w:unhideWhenUsed/>
    <w:rsid w:val="00091798"/>
    <w:rPr>
      <w:color w:val="954F72" w:themeColor="followedHyperlink"/>
      <w:u w:val="single"/>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locked/>
    <w:rsid w:val="0071547F"/>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786379">
      <w:bodyDiv w:val="1"/>
      <w:marLeft w:val="0"/>
      <w:marRight w:val="0"/>
      <w:marTop w:val="0"/>
      <w:marBottom w:val="0"/>
      <w:divBdr>
        <w:top w:val="none" w:sz="0" w:space="0" w:color="auto"/>
        <w:left w:val="none" w:sz="0" w:space="0" w:color="auto"/>
        <w:bottom w:val="none" w:sz="0" w:space="0" w:color="auto"/>
        <w:right w:val="none" w:sz="0" w:space="0" w:color="auto"/>
      </w:divBdr>
    </w:div>
    <w:div w:id="357128412">
      <w:bodyDiv w:val="1"/>
      <w:marLeft w:val="0"/>
      <w:marRight w:val="0"/>
      <w:marTop w:val="0"/>
      <w:marBottom w:val="0"/>
      <w:divBdr>
        <w:top w:val="none" w:sz="0" w:space="0" w:color="auto"/>
        <w:left w:val="none" w:sz="0" w:space="0" w:color="auto"/>
        <w:bottom w:val="none" w:sz="0" w:space="0" w:color="auto"/>
        <w:right w:val="none" w:sz="0" w:space="0" w:color="auto"/>
      </w:divBdr>
    </w:div>
    <w:div w:id="594291464">
      <w:bodyDiv w:val="1"/>
      <w:marLeft w:val="0"/>
      <w:marRight w:val="0"/>
      <w:marTop w:val="0"/>
      <w:marBottom w:val="0"/>
      <w:divBdr>
        <w:top w:val="none" w:sz="0" w:space="0" w:color="auto"/>
        <w:left w:val="none" w:sz="0" w:space="0" w:color="auto"/>
        <w:bottom w:val="none" w:sz="0" w:space="0" w:color="auto"/>
        <w:right w:val="none" w:sz="0" w:space="0" w:color="auto"/>
      </w:divBdr>
    </w:div>
    <w:div w:id="1552113039">
      <w:bodyDiv w:val="1"/>
      <w:marLeft w:val="0"/>
      <w:marRight w:val="0"/>
      <w:marTop w:val="0"/>
      <w:marBottom w:val="0"/>
      <w:divBdr>
        <w:top w:val="none" w:sz="0" w:space="0" w:color="auto"/>
        <w:left w:val="none" w:sz="0" w:space="0" w:color="auto"/>
        <w:bottom w:val="none" w:sz="0" w:space="0" w:color="auto"/>
        <w:right w:val="none" w:sz="0" w:space="0" w:color="auto"/>
      </w:divBdr>
    </w:div>
    <w:div w:id="1650745219">
      <w:bodyDiv w:val="1"/>
      <w:marLeft w:val="0"/>
      <w:marRight w:val="0"/>
      <w:marTop w:val="0"/>
      <w:marBottom w:val="0"/>
      <w:divBdr>
        <w:top w:val="none" w:sz="0" w:space="0" w:color="auto"/>
        <w:left w:val="none" w:sz="0" w:space="0" w:color="auto"/>
        <w:bottom w:val="none" w:sz="0" w:space="0" w:color="auto"/>
        <w:right w:val="none" w:sz="0" w:space="0" w:color="auto"/>
      </w:divBdr>
    </w:div>
    <w:div w:id="2068066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seimas.lrs.lt/portal/legalAct/lt/TAP/1205ff8258a011f0a19dcea0bcc863ad"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finmin.lrv.lt/lt/korupcijos-prevencija/korupcijos-rizikos-analize/" TargetMode="External"/><Relationship Id="rId17" Type="http://schemas.openxmlformats.org/officeDocument/2006/relationships/hyperlink" Target="https://lpt.lrv.lt/lt/administracine-informacija/ukio-subjektu-prieziura/komisiju-veikla/lietuvos-respublikos-pinigu-plovimo-ir-teroristu-finansavimo-prevencijos-istatymo-pazeidimu-nagrinejimo-komisija/" TargetMode="External"/><Relationship Id="rId2" Type="http://schemas.openxmlformats.org/officeDocument/2006/relationships/customXml" Target="../customXml/item2.xml"/><Relationship Id="rId16" Type="http://schemas.openxmlformats.org/officeDocument/2006/relationships/hyperlink" Target="https://lpt.lrv.lt/lt/administracine-informacija/ukio-subjektu-prieziura/komisiju-veikla/patariamoji-komisija-sprendimui-del-baudos-skyrimo-ir-jos-dydzio-nustatymo-priimti/"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pt.lrv.lt/lt/korupcijos-prevencija/informacija-apie-stt-pateiktu-siulymu-igyvendinima/" TargetMode="External"/><Relationship Id="rId5" Type="http://schemas.openxmlformats.org/officeDocument/2006/relationships/numbering" Target="numbering.xml"/><Relationship Id="rId15" Type="http://schemas.openxmlformats.org/officeDocument/2006/relationships/hyperlink" Target="https://lpt.lrv.lt/lt/administracine-informacija/gautos-paramos-panaudojimas/"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pt.lrv.lt/public/canonical/1736753192/1040/patikr%20planas.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stt.lt/korupcijos-prevencija/korupcijos-rizikos-analizes/atliktos-korupcijos-rizikos-analizes/7471/act1135?sqid=923ccbef46ebcbafd6b15618b51ee6eefb898cae"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9C76AB3CB8C0844B9C4013AAAA0E53F8" ma:contentTypeVersion="5" ma:contentTypeDescription="Kurkite naują dokumentą." ma:contentTypeScope="" ma:versionID="6df701fdc41b56d05d88b5e13d785265">
  <xsd:schema xmlns:xsd="http://www.w3.org/2001/XMLSchema" xmlns:xs="http://www.w3.org/2001/XMLSchema" xmlns:p="http://schemas.microsoft.com/office/2006/metadata/properties" xmlns:ns3="d7518eba-ff2d-4217-b7f3-4774774a8135" targetNamespace="http://schemas.microsoft.com/office/2006/metadata/properties" ma:root="true" ma:fieldsID="9ad11cb32297af1421181777ef94f910" ns3:_="">
    <xsd:import namespace="d7518eba-ff2d-4217-b7f3-4774774a8135"/>
    <xsd:element name="properties">
      <xsd:complexType>
        <xsd:sequence>
          <xsd:element name="documentManagement">
            <xsd:complexType>
              <xsd:all>
                <xsd:element ref="ns3:MediaServiceMetadata" minOccurs="0"/>
                <xsd:element ref="ns3:MediaServiceFastMetadata"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518eba-ff2d-4217-b7f3-4774774a81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earchProperties" ma:index="1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d7518eba-ff2d-4217-b7f3-4774774a8135" xsi:nil="true"/>
  </documentManagement>
</p:properties>
</file>

<file path=customXml/itemProps1.xml><?xml version="1.0" encoding="utf-8"?>
<ds:datastoreItem xmlns:ds="http://schemas.openxmlformats.org/officeDocument/2006/customXml" ds:itemID="{BF8552A7-2507-45E7-A6AA-503FC27DF5BE}">
  <ds:schemaRefs>
    <ds:schemaRef ds:uri="http://schemas.openxmlformats.org/officeDocument/2006/bibliography"/>
  </ds:schemaRefs>
</ds:datastoreItem>
</file>

<file path=customXml/itemProps2.xml><?xml version="1.0" encoding="utf-8"?>
<ds:datastoreItem xmlns:ds="http://schemas.openxmlformats.org/officeDocument/2006/customXml" ds:itemID="{0AF707FD-DA23-4C38-8B33-D375F87C9D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518eba-ff2d-4217-b7f3-4774774a81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308D7E-7805-4C29-BAA5-A378D2DB7885}">
  <ds:schemaRefs>
    <ds:schemaRef ds:uri="http://schemas.microsoft.com/sharepoint/v3/contenttype/forms"/>
  </ds:schemaRefs>
</ds:datastoreItem>
</file>

<file path=customXml/itemProps4.xml><?xml version="1.0" encoding="utf-8"?>
<ds:datastoreItem xmlns:ds="http://schemas.openxmlformats.org/officeDocument/2006/customXml" ds:itemID="{1CE29CB4-AF11-4792-8C3C-BC39B0101E58}">
  <ds:schemaRefs>
    <ds:schemaRef ds:uri="http://schemas.microsoft.com/office/2006/metadata/properties"/>
    <ds:schemaRef ds:uri="http://schemas.microsoft.com/office/infopath/2007/PartnerControls"/>
    <ds:schemaRef ds:uri="d7518eba-ff2d-4217-b7f3-4774774a8135"/>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17782</Words>
  <Characters>10136</Characters>
  <Application>Microsoft Office Word</Application>
  <DocSecurity>0</DocSecurity>
  <Lines>84</Lines>
  <Paragraphs>55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27863</CharactersWithSpaces>
  <SharedDoc>false</SharedDoc>
  <HLinks>
    <vt:vector size="24" baseType="variant">
      <vt:variant>
        <vt:i4>6488189</vt:i4>
      </vt:variant>
      <vt:variant>
        <vt:i4>9</vt:i4>
      </vt:variant>
      <vt:variant>
        <vt:i4>0</vt:i4>
      </vt:variant>
      <vt:variant>
        <vt:i4>5</vt:i4>
      </vt:variant>
      <vt:variant>
        <vt:lpwstr>https://lpt.lrv.lt/lt/administracine-informacija/ukio-subjektu-prieziura/komisiju-veikla/lietuvos-respublikos-pinigu-plovimo-ir-teroristu-finansavimo-prevencijos-istatymo-pazeidimu-nagrinejimo-komisija/</vt:lpwstr>
      </vt:variant>
      <vt:variant>
        <vt:lpwstr/>
      </vt:variant>
      <vt:variant>
        <vt:i4>6225932</vt:i4>
      </vt:variant>
      <vt:variant>
        <vt:i4>6</vt:i4>
      </vt:variant>
      <vt:variant>
        <vt:i4>0</vt:i4>
      </vt:variant>
      <vt:variant>
        <vt:i4>5</vt:i4>
      </vt:variant>
      <vt:variant>
        <vt:lpwstr>https://lpt.lrv.lt/lt/administracine-informacija/ukio-subjektu-prieziura/komisiju-veikla/patariamoji-komisija-sprendimui-del-baudos-skyrimo-ir-jos-dydzio-nustatymo-priimti/</vt:lpwstr>
      </vt:variant>
      <vt:variant>
        <vt:lpwstr/>
      </vt:variant>
      <vt:variant>
        <vt:i4>5177354</vt:i4>
      </vt:variant>
      <vt:variant>
        <vt:i4>3</vt:i4>
      </vt:variant>
      <vt:variant>
        <vt:i4>0</vt:i4>
      </vt:variant>
      <vt:variant>
        <vt:i4>5</vt:i4>
      </vt:variant>
      <vt:variant>
        <vt:lpwstr>https://lpt.lrv.lt/lt/administracine-informacija/gautos-paramos-panaudojimas/</vt:lpwstr>
      </vt:variant>
      <vt:variant>
        <vt:lpwstr/>
      </vt:variant>
      <vt:variant>
        <vt:i4>4653129</vt:i4>
      </vt:variant>
      <vt:variant>
        <vt:i4>0</vt:i4>
      </vt:variant>
      <vt:variant>
        <vt:i4>0</vt:i4>
      </vt:variant>
      <vt:variant>
        <vt:i4>5</vt:i4>
      </vt:variant>
      <vt:variant>
        <vt:lpwstr>https://lpt.lrv.lt/public/canonical/1736753192/1040/patikr planas.pdf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Poškuvienė</dc:creator>
  <cp:keywords/>
  <dc:description/>
  <cp:lastModifiedBy>Ramunė Paukštienė</cp:lastModifiedBy>
  <cp:revision>2</cp:revision>
  <dcterms:created xsi:type="dcterms:W3CDTF">2025-08-18T12:34:00Z</dcterms:created>
  <dcterms:modified xsi:type="dcterms:W3CDTF">2025-08-18T12:34:00Z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0x0101009C76AB3CB8C0844B9C4013AAAA0E53F8</vt:lpwstr>
  </property>
</Properties>
</file>