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A2623" w14:textId="7DFC27D2" w:rsidR="00476588" w:rsidRPr="0033619B" w:rsidRDefault="0001419C" w:rsidP="0033619B">
      <w:pPr>
        <w:spacing w:after="120" w:line="254" w:lineRule="auto"/>
        <w:jc w:val="center"/>
        <w:rPr>
          <w:rFonts w:ascii="Calibri" w:hAnsi="Calibri" w:cs="Calibri"/>
          <w:b/>
          <w:bCs/>
          <w:lang w:val="en-US"/>
        </w:rPr>
      </w:pPr>
      <w:r w:rsidRPr="0033619B">
        <w:rPr>
          <w:rFonts w:ascii="Calibri" w:hAnsi="Calibri" w:cs="Calibri"/>
          <w:b/>
          <w:bCs/>
          <w:lang w:val="en-US"/>
        </w:rPr>
        <w:t xml:space="preserve">Study “Lithuanian </w:t>
      </w:r>
      <w:r w:rsidR="00176209" w:rsidRPr="0033619B">
        <w:rPr>
          <w:rFonts w:ascii="Calibri" w:hAnsi="Calibri" w:cs="Calibri"/>
          <w:b/>
          <w:bCs/>
          <w:lang w:val="en-US"/>
        </w:rPr>
        <w:t>Map of Corruption</w:t>
      </w:r>
      <w:r w:rsidRPr="0033619B">
        <w:rPr>
          <w:rFonts w:ascii="Calibri" w:hAnsi="Calibri" w:cs="Calibri"/>
          <w:b/>
          <w:bCs/>
          <w:lang w:val="en-US"/>
        </w:rPr>
        <w:t>: Survey of Business Representatives 2026”</w:t>
      </w:r>
      <w:r w:rsidR="0033619B">
        <w:rPr>
          <w:rFonts w:ascii="Calibri" w:hAnsi="Calibri" w:cs="Calibri"/>
          <w:b/>
          <w:bCs/>
          <w:lang w:val="en-US"/>
        </w:rPr>
        <w:t xml:space="preserve"> </w:t>
      </w:r>
    </w:p>
    <w:p w14:paraId="3EFF998E" w14:textId="6DD5F776"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In January–February 2026, a survey of 700 companies operating in Lithuania was conducted. The main goals were to assess business attitudes towards corruption and their experiences while conducting operations in the country, as well as to identify the factors shaping these attitudes. The study aims to evaluate the anti-corruption potential of the business sector and to identify geographic and sectoral patterns of corruption.</w:t>
      </w:r>
    </w:p>
    <w:p w14:paraId="59102524" w14:textId="0C296E94"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 xml:space="preserve">Nearly half (45%) of surveyed business representatives consider corruption to be a serious obstacle to business development in Lithuania, while 47% view it as widespread in the country. Nevertheless, the majority (60%) agree that corruption is being addressed successfully in Lithuania. A positive shift is also observed in perceptions of corruption trends: only 3% believe corruption has increased over the past 12 months (compared to 17% in </w:t>
      </w:r>
      <w:r w:rsidR="0033619B" w:rsidRPr="0033619B">
        <w:rPr>
          <w:rFonts w:ascii="Calibri" w:hAnsi="Calibri" w:cs="Calibri"/>
          <w:lang w:val="en-US"/>
        </w:rPr>
        <w:t>2023–2024</w:t>
      </w:r>
      <w:r w:rsidRPr="0033619B">
        <w:rPr>
          <w:rFonts w:ascii="Calibri" w:hAnsi="Calibri" w:cs="Calibri"/>
          <w:lang w:val="en-US"/>
        </w:rPr>
        <w:t>), while one-quarter states that it has decreased. Future expectations are relatively optimistic, with 42% expecting corruption levels to decline over the next three years.</w:t>
      </w:r>
    </w:p>
    <w:p w14:paraId="195623CE" w14:textId="0711731A"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Despite these positive trends, spontaneous mentions of the most corrupt institutions indicate persistent distrust in the public sector. Municipalities (24%), healthcare institutions (20%), and the Parliament (15%) are most frequently cited, with mentions of municipalities increasing significantly.</w:t>
      </w:r>
    </w:p>
    <w:p w14:paraId="0D8F7707" w14:textId="47608769"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In terms of direct experience, the prevalence of bribery in business has steadily declined over time—from 5% in 2019–202</w:t>
      </w:r>
      <w:r w:rsidR="0033619B" w:rsidRPr="0033619B">
        <w:rPr>
          <w:rFonts w:ascii="Calibri" w:hAnsi="Calibri" w:cs="Calibri"/>
          <w:lang w:val="en-US"/>
        </w:rPr>
        <w:t>4</w:t>
      </w:r>
      <w:r w:rsidRPr="0033619B">
        <w:rPr>
          <w:rFonts w:ascii="Calibri" w:hAnsi="Calibri" w:cs="Calibri"/>
          <w:lang w:val="en-US"/>
        </w:rPr>
        <w:t xml:space="preserve"> to 2% in 2026. However, in certain areas of public services, up to 11% of companies that have used these services report having encountered requests for bribes, particularly in municipal services (construction, land management, permits, and public procurement). These findings are reinforced by the fact that approximately two-thirds of companies surveyed perceive municipalities as lacking transparency.</w:t>
      </w:r>
    </w:p>
    <w:p w14:paraId="53DAB72D" w14:textId="430C3A99"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Perceptions of decision-making transparency remain largely critical: 43% of respondents consider decision-making processes to be closed, while only 14% view them as open. Compared to 2023–2024 data, the share of respondents perceiving decision-making as closed has increased by 12 percentage points. There has also been a notable rise in those who have heard of attempts to influence decision-making (from 43% in 2023–2024 to 67% in 2026). Most believe that such influence is exerted through both legal and illegal means, particularly in the energy, construction, pharmaceutical, and healthcare sectors.</w:t>
      </w:r>
    </w:p>
    <w:p w14:paraId="08B21CEE" w14:textId="77777777"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Most scenarios presented in the study were correctly identified by respondents as corruption-related (90–94%). However, relatively lower recognition was observed in cases where a businessperson financially supporting a national sports federation seeks to influence decision-making (83%), and where a company participates in drafting public procurement requirements that may favor it (82%).</w:t>
      </w:r>
    </w:p>
    <w:p w14:paraId="5DF5D5E5" w14:textId="1A1072E8"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Positive changes are evident in attitudes towards bribery. As many as 80% of business representatives state they would not offer a bribe under any circumstances (compared to 62% in 2023–2024), while 16% indicate they would consider doing so depending on the situation. This reflects strengthening anti-corruption norms within the business environment.</w:t>
      </w:r>
    </w:p>
    <w:p w14:paraId="2EDCF248" w14:textId="0414FC83"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 xml:space="preserve">The level of reporting corruption remains limited: among the 20% of companies that encountered potentially corrupt situations, only 16% reported them (compared to 20% in </w:t>
      </w:r>
      <w:r w:rsidRPr="0033619B">
        <w:rPr>
          <w:rFonts w:ascii="Calibri" w:hAnsi="Calibri" w:cs="Calibri"/>
          <w:lang w:val="en-US"/>
        </w:rPr>
        <w:lastRenderedPageBreak/>
        <w:t>2023–2024). In terms of reporting potential, 52% of business representatives state they would report corruption if encountered. Key barriers to reporting include avoidance of legal processes, uncertainty about whether the act qualifies as corruption, and lack of confidence in the effectiveness of sanctions.</w:t>
      </w:r>
    </w:p>
    <w:p w14:paraId="6A6D6058" w14:textId="3427D2FB"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Almost half of companies (47%) implement anti-corruption measures, more commonly larger organizations. The most frequently applied measures include codes of ethics/conduct (76%) and anti-corruption policies (73%). Among companies applying such measures, 60% have internal whistleblowing channels. These measures significantly increase organizational resilience to corruption and are associated with stronger anti-bribery attitudes and a higher likelihood of reporting corruption.</w:t>
      </w:r>
    </w:p>
    <w:p w14:paraId="4529C8A8" w14:textId="7BED4F96"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 xml:space="preserve">Awareness of the </w:t>
      </w:r>
      <w:r w:rsidR="002E62FC" w:rsidRPr="0033619B">
        <w:rPr>
          <w:rFonts w:ascii="Calibri" w:hAnsi="Calibri" w:cs="Calibri"/>
          <w:lang w:val="en-US"/>
        </w:rPr>
        <w:t xml:space="preserve">Special Investigation Service of the Republic of Lithuania </w:t>
      </w:r>
      <w:r w:rsidRPr="0033619B">
        <w:rPr>
          <w:rFonts w:ascii="Calibri" w:hAnsi="Calibri" w:cs="Calibri"/>
          <w:lang w:val="en-US"/>
        </w:rPr>
        <w:t>is extremely high among businesses (99%), as is trust in the institution: 85% of respondents indicate at least partial trust (14 percentage points higher than in 2023–2024). Trust in the institution is also linked to perceptions of corruption: respondents who evaluate the prevalence, impact, and control of corruption more positively are also more likely to trust it.</w:t>
      </w:r>
    </w:p>
    <w:p w14:paraId="62A547B3" w14:textId="6F03C01A" w:rsidR="0001419C" w:rsidRPr="0033619B" w:rsidRDefault="0001419C" w:rsidP="0033619B">
      <w:pPr>
        <w:spacing w:line="254" w:lineRule="auto"/>
        <w:jc w:val="both"/>
        <w:rPr>
          <w:rFonts w:ascii="Calibri" w:hAnsi="Calibri" w:cs="Calibri"/>
          <w:lang w:val="en-US"/>
        </w:rPr>
      </w:pPr>
      <w:r w:rsidRPr="0033619B">
        <w:rPr>
          <w:rFonts w:ascii="Calibri" w:hAnsi="Calibri" w:cs="Calibri"/>
          <w:lang w:val="en-US"/>
        </w:rPr>
        <w:t>In summary, two parallel trends can be observed in Lithuania’s business environment. On the one hand, there is a strengthening of anti-corruption attitudes, a more positive overall assessment of the corruption situation, and more optimistic expectations for the future. On the other hand, a critical view persists regarding the transparency of the public sector, the openness of decision-making, and the influence exerted on decision-making processes. This reflects a long-term, albeit uneven, decline in corruption, associated both with strengthening anti-corruption norms and the increasing adoption of anti-corruption measures within companies.</w:t>
      </w:r>
    </w:p>
    <w:p w14:paraId="19FAB013" w14:textId="282E9032" w:rsidR="002E62FC" w:rsidRPr="0033619B" w:rsidRDefault="002E62FC" w:rsidP="0033619B">
      <w:pPr>
        <w:spacing w:line="254" w:lineRule="auto"/>
        <w:jc w:val="both"/>
        <w:rPr>
          <w:rFonts w:ascii="Calibri" w:hAnsi="Calibri" w:cs="Calibri"/>
          <w:lang w:val="en-US"/>
        </w:rPr>
      </w:pPr>
      <w:r w:rsidRPr="0033619B">
        <w:rPr>
          <w:rFonts w:ascii="Calibri" w:hAnsi="Calibri" w:cs="Calibri"/>
          <w:lang w:val="en-US"/>
        </w:rPr>
        <w:t xml:space="preserve">Key </w:t>
      </w:r>
      <w:r w:rsidR="0033619B" w:rsidRPr="0033619B">
        <w:rPr>
          <w:rFonts w:ascii="Calibri" w:hAnsi="Calibri" w:cs="Calibri"/>
          <w:lang w:val="en-US"/>
        </w:rPr>
        <w:t>insights</w:t>
      </w:r>
      <w:r w:rsidRPr="0033619B">
        <w:rPr>
          <w:rFonts w:ascii="Calibri" w:hAnsi="Calibri" w:cs="Calibri"/>
          <w:lang w:val="en-US"/>
        </w:rPr>
        <w:t>:</w:t>
      </w:r>
    </w:p>
    <w:p w14:paraId="414199E6" w14:textId="4931C19F" w:rsidR="002E62FC" w:rsidRPr="0033619B" w:rsidRDefault="0033619B" w:rsidP="0033619B">
      <w:pPr>
        <w:pStyle w:val="Sraopastraipa"/>
        <w:numPr>
          <w:ilvl w:val="0"/>
          <w:numId w:val="2"/>
        </w:numPr>
        <w:spacing w:line="254" w:lineRule="auto"/>
        <w:jc w:val="both"/>
        <w:rPr>
          <w:rFonts w:ascii="Calibri" w:hAnsi="Calibri" w:cs="Calibri"/>
          <w:lang w:val="en-US"/>
        </w:rPr>
      </w:pPr>
      <w:r w:rsidRPr="0033619B">
        <w:rPr>
          <w:rFonts w:ascii="Calibri" w:hAnsi="Calibri" w:cs="Calibri"/>
          <w:b/>
          <w:bCs/>
          <w:lang w:val="en-US"/>
        </w:rPr>
        <w:t>The level of corruption reporting remains low</w:t>
      </w:r>
      <w:r w:rsidRPr="0033619B">
        <w:rPr>
          <w:rFonts w:ascii="Calibri" w:hAnsi="Calibri" w:cs="Calibri"/>
          <w:lang w:val="en-US"/>
        </w:rPr>
        <w:t>.</w:t>
      </w:r>
      <w:r w:rsidR="002E62FC" w:rsidRPr="0033619B">
        <w:rPr>
          <w:rFonts w:ascii="Calibri" w:hAnsi="Calibri" w:cs="Calibri"/>
          <w:lang w:val="en-US"/>
        </w:rPr>
        <w:t xml:space="preserve"> Although 20% of companies have encountered potentially corrupt situations, only 16% of them reported these cases. Looking ahead, around half of business representatives still indicate they would not report corruption, most commonly due to a reluctance to engage in lengthy legal processes or a lack of confidence in achieving meaningful outcomes.</w:t>
      </w:r>
    </w:p>
    <w:p w14:paraId="0CB9F3F6" w14:textId="39B41E75" w:rsidR="002E62FC" w:rsidRPr="0033619B" w:rsidRDefault="0033619B" w:rsidP="0033619B">
      <w:pPr>
        <w:pStyle w:val="Sraopastraipa"/>
        <w:numPr>
          <w:ilvl w:val="0"/>
          <w:numId w:val="2"/>
        </w:numPr>
        <w:spacing w:line="254" w:lineRule="auto"/>
        <w:jc w:val="both"/>
        <w:rPr>
          <w:rFonts w:ascii="Calibri" w:hAnsi="Calibri" w:cs="Calibri"/>
          <w:lang w:val="en-US"/>
        </w:rPr>
      </w:pPr>
      <w:r w:rsidRPr="0033619B">
        <w:rPr>
          <w:rFonts w:ascii="Calibri" w:hAnsi="Calibri" w:cs="Calibri"/>
          <w:b/>
          <w:bCs/>
          <w:lang w:val="en-US"/>
        </w:rPr>
        <w:t>Municipalities as a key are of concern.</w:t>
      </w:r>
      <w:r>
        <w:rPr>
          <w:rFonts w:ascii="Calibri" w:hAnsi="Calibri" w:cs="Calibri"/>
          <w:lang w:val="en-US"/>
        </w:rPr>
        <w:t xml:space="preserve"> </w:t>
      </w:r>
      <w:r w:rsidR="002E62FC" w:rsidRPr="0033619B">
        <w:rPr>
          <w:rFonts w:ascii="Calibri" w:hAnsi="Calibri" w:cs="Calibri"/>
          <w:lang w:val="en-US"/>
        </w:rPr>
        <w:t>Municipalities stand out both as one of the most frequently identified corrupt institutions and as providers of public services where corruption is most often encountered. This points to persistent vulnerabilities in decision-making and service delivery at the local government level.</w:t>
      </w:r>
    </w:p>
    <w:p w14:paraId="0D8059EB" w14:textId="2520F11D" w:rsidR="00750E29" w:rsidRPr="0033619B" w:rsidRDefault="002E62FC" w:rsidP="0033619B">
      <w:pPr>
        <w:pStyle w:val="Sraopastraipa"/>
        <w:numPr>
          <w:ilvl w:val="0"/>
          <w:numId w:val="2"/>
        </w:numPr>
        <w:spacing w:line="254" w:lineRule="auto"/>
        <w:jc w:val="both"/>
        <w:rPr>
          <w:rFonts w:ascii="Calibri" w:hAnsi="Calibri" w:cs="Calibri"/>
          <w:lang w:val="en-US"/>
        </w:rPr>
      </w:pPr>
      <w:r w:rsidRPr="0033619B">
        <w:rPr>
          <w:rFonts w:ascii="Calibri" w:hAnsi="Calibri" w:cs="Calibri"/>
          <w:b/>
          <w:bCs/>
          <w:lang w:val="en-US"/>
        </w:rPr>
        <w:t>Differences in attitudes, perceptions, and experiences related to corruption are evident between larger and smaller companies.</w:t>
      </w:r>
      <w:r w:rsidRPr="0033619B">
        <w:rPr>
          <w:rFonts w:ascii="Calibri" w:hAnsi="Calibri" w:cs="Calibri"/>
          <w:lang w:val="en-US"/>
        </w:rPr>
        <w:t xml:space="preserve"> Larger companies are more likely to implement anti-corruption measures, demonstrate stronger anti-corruption attitudes, and exhibit greater resilience to corruption, while smaller companies remain more vulnerable to situational corruption risks.</w:t>
      </w:r>
    </w:p>
    <w:sectPr w:rsidR="00750E29" w:rsidRPr="0033619B" w:rsidSect="0033619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456B"/>
    <w:multiLevelType w:val="hybridMultilevel"/>
    <w:tmpl w:val="F7FE74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82A432C"/>
    <w:multiLevelType w:val="hybridMultilevel"/>
    <w:tmpl w:val="832A41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97124723">
    <w:abstractNumId w:val="1"/>
  </w:num>
  <w:num w:numId="2" w16cid:durableId="41282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88"/>
    <w:rsid w:val="0001419C"/>
    <w:rsid w:val="000271A1"/>
    <w:rsid w:val="00047E6B"/>
    <w:rsid w:val="001032AD"/>
    <w:rsid w:val="001176AB"/>
    <w:rsid w:val="0014195A"/>
    <w:rsid w:val="00176209"/>
    <w:rsid w:val="001B7374"/>
    <w:rsid w:val="002E62FC"/>
    <w:rsid w:val="00330E56"/>
    <w:rsid w:val="0033619B"/>
    <w:rsid w:val="00357A72"/>
    <w:rsid w:val="003D7C0E"/>
    <w:rsid w:val="00476588"/>
    <w:rsid w:val="004A4F70"/>
    <w:rsid w:val="00567A22"/>
    <w:rsid w:val="005A4262"/>
    <w:rsid w:val="00672C71"/>
    <w:rsid w:val="00750E29"/>
    <w:rsid w:val="00895A1C"/>
    <w:rsid w:val="008C7880"/>
    <w:rsid w:val="008F6AC9"/>
    <w:rsid w:val="009205F5"/>
    <w:rsid w:val="00B803CD"/>
    <w:rsid w:val="00C36E0D"/>
    <w:rsid w:val="00C5335A"/>
    <w:rsid w:val="00D46A42"/>
    <w:rsid w:val="00EB3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05CE"/>
  <w15:chartTrackingRefBased/>
  <w15:docId w15:val="{97F4D748-A5C8-4E9A-8D60-5F97F56F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76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76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7658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7658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7658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7658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7658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7658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7658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658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7658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7658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7658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7658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7658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7658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7658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7658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76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765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7658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7658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7658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76588"/>
    <w:rPr>
      <w:i/>
      <w:iCs/>
      <w:color w:val="404040" w:themeColor="text1" w:themeTint="BF"/>
    </w:rPr>
  </w:style>
  <w:style w:type="paragraph" w:styleId="Sraopastraipa">
    <w:name w:val="List Paragraph"/>
    <w:basedOn w:val="prastasis"/>
    <w:uiPriority w:val="34"/>
    <w:qFormat/>
    <w:rsid w:val="00476588"/>
    <w:pPr>
      <w:ind w:left="720"/>
      <w:contextualSpacing/>
    </w:pPr>
  </w:style>
  <w:style w:type="character" w:styleId="Rykuspabraukimas">
    <w:name w:val="Intense Emphasis"/>
    <w:basedOn w:val="Numatytasispastraiposriftas"/>
    <w:uiPriority w:val="21"/>
    <w:qFormat/>
    <w:rsid w:val="00476588"/>
    <w:rPr>
      <w:i/>
      <w:iCs/>
      <w:color w:val="0F4761" w:themeColor="accent1" w:themeShade="BF"/>
    </w:rPr>
  </w:style>
  <w:style w:type="paragraph" w:styleId="Iskirtacitata">
    <w:name w:val="Intense Quote"/>
    <w:basedOn w:val="prastasis"/>
    <w:next w:val="prastasis"/>
    <w:link w:val="IskirtacitataDiagrama"/>
    <w:uiPriority w:val="30"/>
    <w:qFormat/>
    <w:rsid w:val="00476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76588"/>
    <w:rPr>
      <w:i/>
      <w:iCs/>
      <w:color w:val="0F4761" w:themeColor="accent1" w:themeShade="BF"/>
    </w:rPr>
  </w:style>
  <w:style w:type="character" w:styleId="Rykinuoroda">
    <w:name w:val="Intense Reference"/>
    <w:basedOn w:val="Numatytasispastraiposriftas"/>
    <w:uiPriority w:val="32"/>
    <w:qFormat/>
    <w:rsid w:val="00476588"/>
    <w:rPr>
      <w:b/>
      <w:bCs/>
      <w:smallCaps/>
      <w:color w:val="0F4761" w:themeColor="accent1" w:themeShade="BF"/>
      <w:spacing w:val="5"/>
    </w:rPr>
  </w:style>
  <w:style w:type="paragraph" w:styleId="Pataisymai">
    <w:name w:val="Revision"/>
    <w:hidden/>
    <w:uiPriority w:val="99"/>
    <w:semiHidden/>
    <w:rsid w:val="00EB39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4115</Words>
  <Characters>2347</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Mickevič-Radžvilienė</dc:creator>
  <cp:keywords/>
  <dc:description/>
  <cp:lastModifiedBy>Nikė Kiškytė-Valatkienė</cp:lastModifiedBy>
  <cp:revision>5</cp:revision>
  <dcterms:created xsi:type="dcterms:W3CDTF">2026-04-24T12:10:00Z</dcterms:created>
  <dcterms:modified xsi:type="dcterms:W3CDTF">2026-09-07T06:38:00Z</dcterms:modified>
</cp:coreProperties>
</file>