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spacing w:after="280"/>
      </w:pPr>
      <w:bookmarkStart w:name="_gjdgxs" w:id="0"/>
      <w:bookmarkEnd w:id="0"/>
      <w:r>
        <w:rPr>
          <w:sz w:val="20"/>
          <w:szCs w:val="20"/>
          <w:rtl w:val="0"/>
        </w:rPr>
        <w:t xml:space="preserve"> </w:t>
      </w:r>
      <w:r>
        <w:rPr>
          <w:sz w:val="20"/>
          <w:szCs w:val="20"/>
          <w:rtl w:val="0"/>
        </w:rPr>
        <w:t xml:space="preserve">                                                                                                                                                                                                                                                                                                                                                                                                                                                                    </w:t>
      </w:r>
      <w:r>
        <w:rPr>
          <w:sz w:val="20"/>
          <w:szCs w:val="20"/>
        </w:rPr>
        <w:drawing xmlns:a="http://schemas.openxmlformats.org/drawingml/2006/main">
          <wp:inline distT="0" distB="0" distL="0" distR="0">
            <wp:extent cx="5630295" cy="976938"/>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630295" cy="976938"/>
                    </a:xfrm>
                    <a:prstGeom prst="rect">
                      <a:avLst/>
                    </a:prstGeom>
                    <a:ln w="12700" cap="flat">
                      <a:noFill/>
                      <a:miter lim="400000"/>
                    </a:ln>
                    <a:effectLst/>
                  </pic:spPr>
                </pic:pic>
              </a:graphicData>
            </a:graphic>
          </wp:inline>
        </w:drawing>
      </w:r>
      <w:r>
        <w:rPr>
          <w:sz w:val="20"/>
          <w:szCs w:val="20"/>
          <w:rtl w:val="0"/>
        </w:rPr>
        <w:t xml:space="preserve">                                                                   </w:t>
      </w:r>
    </w:p>
    <w:p>
      <w:pPr>
        <w:pStyle w:val="normal.0"/>
        <w:spacing w:after="280"/>
        <w:rPr>
          <w:lang w:val="en-US"/>
        </w:rPr>
      </w:pPr>
    </w:p>
    <w:p>
      <w:pPr>
        <w:pStyle w:val="normal.0"/>
        <w:spacing w:after="280"/>
        <w:jc w:val="center"/>
        <w:rPr>
          <w:lang w:val="en-US"/>
        </w:rPr>
      </w:pPr>
      <w:r>
        <w:rPr>
          <w:b w:val="1"/>
          <w:bCs w:val="1"/>
          <w:rtl w:val="0"/>
          <w:lang w:val="en-US"/>
        </w:rPr>
        <w:t>THE LITHUANIAN MAP OF CORRUPTION 202</w:t>
      </w:r>
      <w:r>
        <w:rPr>
          <w:b w:val="1"/>
          <w:bCs w:val="1"/>
          <w:rtl w:val="0"/>
          <w:lang w:val="en-US"/>
        </w:rPr>
        <w:t>1</w:t>
      </w:r>
    </w:p>
    <w:p>
      <w:pPr>
        <w:pStyle w:val="normal.0"/>
        <w:spacing w:after="280"/>
        <w:jc w:val="center"/>
        <w:rPr>
          <w:lang w:val="en-US"/>
        </w:rPr>
      </w:pPr>
    </w:p>
    <w:p>
      <w:pPr>
        <w:pStyle w:val="normal.0"/>
        <w:spacing w:before="240" w:after="240" w:line="360" w:lineRule="auto"/>
        <w:ind w:firstLine="709"/>
        <w:jc w:val="both"/>
        <w:rPr>
          <w:lang w:val="en-US"/>
        </w:rPr>
      </w:pPr>
      <w:r>
        <w:rPr>
          <w:rtl w:val="0"/>
          <w:lang w:val="en-US"/>
        </w:rPr>
        <w:t xml:space="preserve">During September </w:t>
      </w:r>
      <w:r>
        <w:rPr>
          <w:rtl w:val="0"/>
          <w:lang w:val="en-US"/>
        </w:rPr>
        <w:t>-</w:t>
      </w:r>
      <w:r>
        <w:rPr>
          <w:rtl w:val="0"/>
          <w:lang w:val="en-US"/>
        </w:rPr>
        <w:t xml:space="preserve"> November 2021, Public opinion and market research center "Vilmorus" conducted a study "The Lithuanian Map of Corruption 2021</w:t>
      </w:r>
      <w:r>
        <w:rPr>
          <w:rtl w:val="0"/>
          <w:lang w:val="en-US"/>
        </w:rPr>
        <w:t xml:space="preserve">“ </w:t>
      </w:r>
      <w:r>
        <w:rPr>
          <w:rtl w:val="0"/>
          <w:lang w:val="en-US"/>
        </w:rPr>
        <w:t>initiated by the Special Investigation Service of the Republic of Lithuania (STT).</w:t>
      </w:r>
    </w:p>
    <w:p>
      <w:pPr>
        <w:pStyle w:val="normal.0"/>
        <w:spacing w:before="240" w:after="240" w:line="360" w:lineRule="auto"/>
        <w:ind w:firstLine="709"/>
        <w:jc w:val="both"/>
        <w:rPr>
          <w:lang w:val="en-US"/>
        </w:rPr>
      </w:pPr>
      <w:r>
        <w:rPr>
          <w:rtl w:val="0"/>
          <w:lang w:val="en-US"/>
        </w:rPr>
        <w:t xml:space="preserve">Three target groups were researched: Lithuanian residents, business executives, and civil servants. A total of 1,005 residents of Lithuania, 503 business executives, and 697 civil servants were surveyed. </w:t>
      </w:r>
    </w:p>
    <w:p>
      <w:pPr>
        <w:pStyle w:val="normal.0"/>
        <w:spacing w:before="240" w:after="240" w:line="360" w:lineRule="auto"/>
        <w:ind w:firstLine="709"/>
        <w:jc w:val="both"/>
        <w:rPr>
          <w:lang w:val="en-US"/>
        </w:rPr>
      </w:pPr>
      <w:r>
        <w:rPr>
          <w:rtl w:val="0"/>
          <w:lang w:val="en-US"/>
        </w:rPr>
        <w:t>Aim of the research - to assess the corruption situation in Lithuania and compare it with results from previous years. The research objectives: to assess the approach of the target groups towards corruption, the incidence of corruption in various institutions, to identify the corrupt experience of the respondents, to evaluate the potential of anti-corruption and openness of decision-making in Lithuania. Also in the 2021 map of corruption in Lithuania contained a special block of questions about the image of the STT, public procurement, civil forfeiture of property, management of the COVID-19 pandemic, democracy in Lithuania, and the media.</w:t>
      </w:r>
    </w:p>
    <w:p>
      <w:pPr>
        <w:pStyle w:val="normal.0"/>
        <w:spacing w:before="240" w:after="240" w:line="360" w:lineRule="auto"/>
        <w:ind w:firstLine="709"/>
        <w:jc w:val="both"/>
        <w:rPr>
          <w:lang w:val="en-US"/>
        </w:rPr>
      </w:pPr>
      <w:r>
        <w:rPr>
          <w:rtl w:val="0"/>
          <w:lang w:val="en-US"/>
        </w:rPr>
        <w:t>Among the problems facing the Lithuanian population, corruption ranks 4th (out of 18) after low wages, rising prices, and health care problems. Corruption was indicated as a very serious problem by 35% of the population. This percentage is the same as in 2020. Business executives mentioned corruption as a very serious problem in 5-6th place - 26% (in 2020 - 30%), and civil servants - in 6th place - 31% (in 2020 - 33%). There has been a further decline in the importance of corruption as a problem among business executives and civil servants but this trend has stopped among the population. Business executives were also asked about the obstacles to doing business. Corruption was mentioned in 8-9 places after economic instability, lack of competent staff, tax, and other problems. Corruption was mentioned by 7% (15% in 2020) of business executives. Perception of corruption as a very serious problem in 2021 (during quarantine, covid-19 pandemic) slightly decreased.</w:t>
      </w:r>
    </w:p>
    <w:p>
      <w:pPr>
        <w:pStyle w:val="normal.0"/>
        <w:spacing w:before="240" w:after="240" w:line="360" w:lineRule="auto"/>
        <w:ind w:firstLine="709"/>
        <w:jc w:val="both"/>
        <w:rPr>
          <w:lang w:val="en-US"/>
        </w:rPr>
      </w:pPr>
      <w:r>
        <w:rPr>
          <w:rtl w:val="0"/>
          <w:lang w:val="en-US"/>
        </w:rPr>
        <w:t>26% of Lithuanians think that the extent of corruption has grown during the past 5 years, 34% think that it remains unchanged, and 28% think that it has decreased. In 2001, those believing that corruption had increased in 5 years was 53%, in 2004 - 54%,  in 2008 was 77%, in 2011 - 53%, in 2014 - 35%, in 2016 - 42%, 2018 - 25%, in 2019 - 20%, in 2020 - 19%, i.e. from 2008 to 2020, a trend of improving evaluations was observed (except in 2016), and in 2021 a worse result was recorded in evaluations. A similar trend is observed in the assessment of the 12-month dynamic. In 2007, 54% believed that corruption had increased in 12 months. In 2016 - 36%, in 2018 - 20%, in 2019 - 15%, in 2020 - 14%, and in the last survey, 23% of respondents indicated an increase in corruption (i.e. more). When it comes to the future, there are more optimists (25%) than pessimists (20%). However, a year ago the result was better. Business executives are more skeptical about the dynamics of corruption than a year ago, but optimistic assessments prevail (for example, there are 31% who believe that the level of corruption will decrease in 3 years and 20% who believe that it will increase). Estimates of corruption processes in civil servants are optimistic but worse than in 2020. Civil servants claim that the rate of corruption has fallen by 66% in 5 years, by 41% in 12 months, and will decrease by 59% over the next 3 years (only 7% of servants forecast the increase of corruption).</w:t>
      </w:r>
    </w:p>
    <w:p>
      <w:pPr>
        <w:pStyle w:val="normal.0"/>
        <w:spacing w:before="240" w:after="240" w:line="360" w:lineRule="auto"/>
        <w:ind w:firstLine="709"/>
        <w:jc w:val="both"/>
        <w:rPr>
          <w:lang w:val="en-US"/>
        </w:rPr>
      </w:pPr>
      <w:r>
        <w:rPr>
          <w:rtl w:val="0"/>
          <w:lang w:val="en-US"/>
        </w:rPr>
        <w:t>The most common corruption phenomena (</w:t>
      </w:r>
      <w:r>
        <w:rPr>
          <w:rtl w:val="0"/>
          <w:lang w:val="en-US"/>
        </w:rPr>
        <w:t>“</w:t>
      </w:r>
      <w:r>
        <w:rPr>
          <w:rtl w:val="0"/>
          <w:lang w:val="en-US"/>
        </w:rPr>
        <w:t>very common</w:t>
      </w:r>
      <w:r>
        <w:rPr>
          <w:rtl w:val="0"/>
          <w:lang w:val="en-US"/>
        </w:rPr>
        <w:t>”</w:t>
      </w:r>
      <w:r>
        <w:rPr>
          <w:rtl w:val="0"/>
          <w:lang w:val="en-US"/>
        </w:rPr>
        <w:t>) reported by the population were the use of a company car for personal purposes - 37%, when a person shows gratitude to the doctor by giving money after a successful operation - 32%, when a person gets recruited by a public institution through acquaintance - 27%. Forms of corruption such as nepotism and the protection of members of political parties were mentioned very often. These situations were also the most frequently mentioned in 2020.</w:t>
      </w:r>
    </w:p>
    <w:p>
      <w:pPr>
        <w:pStyle w:val="normal.0"/>
        <w:spacing w:before="240" w:after="240" w:line="360" w:lineRule="auto"/>
        <w:ind w:firstLine="709"/>
        <w:jc w:val="both"/>
        <w:rPr>
          <w:lang w:val="en-US"/>
        </w:rPr>
      </w:pPr>
      <w:r>
        <w:rPr>
          <w:rtl w:val="0"/>
          <w:lang w:val="en-US"/>
        </w:rPr>
        <w:t xml:space="preserve">In an open-ended question about the most corrupt institutions, the respondents most frequently mentioned the healthcare institutions </w:t>
      </w:r>
      <w:r>
        <w:rPr>
          <w:rtl w:val="0"/>
          <w:lang w:val="en-US"/>
        </w:rPr>
        <w:t xml:space="preserve">– </w:t>
      </w:r>
      <w:r>
        <w:rPr>
          <w:rtl w:val="0"/>
          <w:lang w:val="en-US"/>
        </w:rPr>
        <w:t xml:space="preserve">49%, the courts </w:t>
      </w:r>
      <w:r>
        <w:rPr>
          <w:rtl w:val="0"/>
          <w:lang w:val="en-US"/>
        </w:rPr>
        <w:t xml:space="preserve">– </w:t>
      </w:r>
      <w:r>
        <w:rPr>
          <w:rtl w:val="0"/>
          <w:lang w:val="en-US"/>
        </w:rPr>
        <w:t xml:space="preserve">38%, the Seimas </w:t>
      </w:r>
      <w:r>
        <w:rPr>
          <w:rtl w:val="0"/>
          <w:lang w:val="en-US"/>
        </w:rPr>
        <w:t xml:space="preserve">– </w:t>
      </w:r>
      <w:r>
        <w:rPr>
          <w:rtl w:val="0"/>
          <w:lang w:val="en-US"/>
        </w:rPr>
        <w:t xml:space="preserve">31%, and the municipalities </w:t>
      </w:r>
      <w:r>
        <w:rPr>
          <w:rtl w:val="0"/>
          <w:lang w:val="en-US"/>
        </w:rPr>
        <w:t xml:space="preserve">– </w:t>
      </w:r>
      <w:r>
        <w:rPr>
          <w:rtl w:val="0"/>
          <w:lang w:val="en-US"/>
        </w:rPr>
        <w:t xml:space="preserve">23%. Compared to 2020 the changes are not significant. Business executives most often mentioned healthcare institutions </w:t>
      </w:r>
      <w:r>
        <w:rPr>
          <w:rtl w:val="0"/>
          <w:lang w:val="en-US"/>
        </w:rPr>
        <w:t xml:space="preserve">– </w:t>
      </w:r>
      <w:r>
        <w:rPr>
          <w:rtl w:val="0"/>
          <w:lang w:val="en-US"/>
        </w:rPr>
        <w:t xml:space="preserve">36% (31% in 2020), courts </w:t>
      </w:r>
      <w:r>
        <w:rPr>
          <w:rtl w:val="0"/>
          <w:lang w:val="en-US"/>
        </w:rPr>
        <w:t xml:space="preserve">– </w:t>
      </w:r>
      <w:r>
        <w:rPr>
          <w:rtl w:val="0"/>
          <w:lang w:val="en-US"/>
        </w:rPr>
        <w:t xml:space="preserve">29% (32% in 2020), the Seimas </w:t>
      </w:r>
      <w:r>
        <w:rPr>
          <w:rtl w:val="0"/>
          <w:lang w:val="en-US"/>
        </w:rPr>
        <w:t xml:space="preserve">– </w:t>
      </w:r>
      <w:r>
        <w:rPr>
          <w:rtl w:val="0"/>
          <w:lang w:val="en-US"/>
        </w:rPr>
        <w:t xml:space="preserve">25% (27% in 2020), and municipalities </w:t>
      </w:r>
      <w:r>
        <w:rPr>
          <w:rtl w:val="0"/>
          <w:lang w:val="en-US"/>
        </w:rPr>
        <w:t xml:space="preserve">– </w:t>
      </w:r>
      <w:r>
        <w:rPr>
          <w:rtl w:val="0"/>
          <w:lang w:val="en-US"/>
        </w:rPr>
        <w:t xml:space="preserve">24% (29% in 2020). As in previous surveys, in an open question as to the most corrupt institutions, civil servants have identified health institutions - 47% (47% in 2020), municipalities </w:t>
      </w:r>
      <w:r>
        <w:rPr>
          <w:rtl w:val="0"/>
          <w:lang w:val="en-US"/>
        </w:rPr>
        <w:t xml:space="preserve">– </w:t>
      </w:r>
      <w:r>
        <w:rPr>
          <w:rtl w:val="0"/>
          <w:lang w:val="en-US"/>
        </w:rPr>
        <w:t>38%, the Seimas - 33%, and courts - 30%. Thus, in the open question for all three target groups, the four most corrupt institutions are the same: health institutions, courts, the Seimas, and municipalities. 2001 In the open question, almost all institutions were mentioned less often (courts - 20%, medical institutions - 12%, Seimas - 12%).</w:t>
      </w:r>
    </w:p>
    <w:p>
      <w:pPr>
        <w:pStyle w:val="normal.0"/>
        <w:spacing w:before="240" w:after="240" w:line="360" w:lineRule="auto"/>
        <w:ind w:firstLine="709"/>
        <w:jc w:val="both"/>
        <w:rPr>
          <w:lang w:val="en-US"/>
        </w:rPr>
      </w:pPr>
      <w:r>
        <w:rPr>
          <w:rtl w:val="0"/>
          <w:lang w:val="en-US"/>
        </w:rPr>
        <w:t xml:space="preserve">The majority of the population (65%) believe that a bribe helps to solve problems. This share has decreased over the last 20 years compared to 2021 (it was 72%). 21% of the population would give a bribe to solve their problems, another 39% said it depends on the circumstances. In the last 12 months, a bribe was offered to the respondents themselves in 4% of cases. </w:t>
      </w:r>
    </w:p>
    <w:p>
      <w:pPr>
        <w:pStyle w:val="normal.0"/>
        <w:spacing w:before="240" w:after="240" w:line="360" w:lineRule="auto"/>
        <w:ind w:firstLine="709"/>
        <w:jc w:val="both"/>
        <w:rPr>
          <w:lang w:val="en-US"/>
        </w:rPr>
      </w:pPr>
      <w:r>
        <w:rPr>
          <w:rtl w:val="0"/>
          <w:lang w:val="en-US"/>
        </w:rPr>
        <w:t>41% of business executives agree that a bribe helps solve problems (less than in 2020 - 44%). 9% of company executives would give a bribe, another 31% would do so depending on the circumstances. 21% of civil servants say a bribe helps solve problems (24% in 2020).</w:t>
      </w:r>
    </w:p>
    <w:p>
      <w:pPr>
        <w:pStyle w:val="normal.0"/>
        <w:spacing w:before="240" w:after="240" w:line="360" w:lineRule="auto"/>
        <w:ind w:firstLine="709"/>
        <w:jc w:val="both"/>
        <w:rPr>
          <w:lang w:val="en-US"/>
        </w:rPr>
      </w:pPr>
      <w:r>
        <w:rPr>
          <w:rtl w:val="0"/>
          <w:lang w:val="en-US"/>
        </w:rPr>
        <w:t xml:space="preserve">During the past 12 months, 10% of the population has given a bribe, during the past 5 years - 24% (about the same as last year, but almost twice less as 20 years ago, in 2001 - 46%). In 12 months, 5% of business executives have given a bribe, and 10% in 5 years. This is more than 2020. 2% of civil servants indicated that within 12 months they have had to give a bribe, which is about the same as a year ago (in 2020 </w:t>
      </w:r>
      <w:r>
        <w:rPr>
          <w:rtl w:val="0"/>
          <w:lang w:val="en-US"/>
        </w:rPr>
        <w:t xml:space="preserve">– </w:t>
      </w:r>
      <w:r>
        <w:rPr>
          <w:rtl w:val="0"/>
          <w:lang w:val="en-US"/>
        </w:rPr>
        <w:t xml:space="preserve">1%, in 2019 </w:t>
      </w:r>
      <w:r>
        <w:rPr>
          <w:rtl w:val="0"/>
          <w:lang w:val="en-US"/>
        </w:rPr>
        <w:t xml:space="preserve">– </w:t>
      </w:r>
      <w:r>
        <w:rPr>
          <w:rtl w:val="0"/>
          <w:lang w:val="en-US"/>
        </w:rPr>
        <w:t xml:space="preserve">2%, in 2018 </w:t>
      </w:r>
      <w:r>
        <w:rPr>
          <w:rtl w:val="0"/>
          <w:lang w:val="en-US"/>
        </w:rPr>
        <w:t xml:space="preserve">– </w:t>
      </w:r>
      <w:r>
        <w:rPr>
          <w:rtl w:val="0"/>
          <w:lang w:val="en-US"/>
        </w:rPr>
        <w:t xml:space="preserve">4%, in 2016 </w:t>
      </w:r>
      <w:r>
        <w:rPr>
          <w:rtl w:val="0"/>
          <w:lang w:val="en-US"/>
        </w:rPr>
        <w:t xml:space="preserve">– </w:t>
      </w:r>
      <w:r>
        <w:rPr>
          <w:rtl w:val="0"/>
          <w:lang w:val="en-US"/>
        </w:rPr>
        <w:t xml:space="preserve">6%). In the past 5 years gave a bribe 11% (in 2020 </w:t>
      </w:r>
      <w:r>
        <w:rPr>
          <w:rtl w:val="0"/>
          <w:lang w:val="en-US"/>
        </w:rPr>
        <w:t xml:space="preserve">– </w:t>
      </w:r>
      <w:r>
        <w:rPr>
          <w:rtl w:val="0"/>
          <w:lang w:val="en-US"/>
        </w:rPr>
        <w:t xml:space="preserve">9%, in 2019 </w:t>
      </w:r>
      <w:r>
        <w:rPr>
          <w:rtl w:val="0"/>
          <w:lang w:val="en-US"/>
        </w:rPr>
        <w:t xml:space="preserve">– </w:t>
      </w:r>
      <w:r>
        <w:rPr>
          <w:rtl w:val="0"/>
          <w:lang w:val="en-US"/>
        </w:rPr>
        <w:t xml:space="preserve">9%, in 2018 </w:t>
      </w:r>
      <w:r>
        <w:rPr>
          <w:rtl w:val="0"/>
          <w:lang w:val="en-US"/>
        </w:rPr>
        <w:t xml:space="preserve">– </w:t>
      </w:r>
      <w:r>
        <w:rPr>
          <w:rtl w:val="0"/>
          <w:lang w:val="en-US"/>
        </w:rPr>
        <w:t xml:space="preserve">12%, in 2016 </w:t>
      </w:r>
      <w:r>
        <w:rPr>
          <w:rtl w:val="0"/>
          <w:lang w:val="en-US"/>
        </w:rPr>
        <w:t xml:space="preserve">– </w:t>
      </w:r>
      <w:r>
        <w:rPr>
          <w:rtl w:val="0"/>
          <w:lang w:val="en-US"/>
        </w:rPr>
        <w:t>19%).</w:t>
      </w:r>
    </w:p>
    <w:p>
      <w:pPr>
        <w:pStyle w:val="normal.0"/>
        <w:spacing w:before="240" w:after="240" w:line="360" w:lineRule="auto"/>
        <w:ind w:firstLine="709"/>
        <w:jc w:val="both"/>
        <w:rPr>
          <w:lang w:val="en-US"/>
        </w:rPr>
      </w:pPr>
      <w:r>
        <w:rPr>
          <w:rtl w:val="0"/>
          <w:lang w:val="en-US"/>
        </w:rPr>
        <w:t>17% of civil servants report that their institution is more or less exposed to pressure from politicians for their private interests (in 2020 was 17%, in 2019 - 15%, in 2018 - 19%). Also, 14% of respondents indicated that their institution was under pressure from politicians because of the interests of the parties they represented (in 2020 was 15%, in 2019 - 11%, in 2018 - 16%).</w:t>
      </w:r>
    </w:p>
    <w:p>
      <w:pPr>
        <w:pStyle w:val="normal.0"/>
        <w:spacing w:before="240" w:after="240" w:line="360" w:lineRule="auto"/>
        <w:ind w:firstLine="709"/>
        <w:jc w:val="both"/>
        <w:rPr>
          <w:lang w:val="en-US"/>
        </w:rPr>
      </w:pPr>
      <w:r>
        <w:rPr>
          <w:rtl w:val="0"/>
          <w:lang w:val="en-US"/>
        </w:rPr>
        <w:t>As in previous years, were measured bribery extortion index (part of the respondents who thought they were expected to give a bribe to an institution) and bribe giving index (respondents who said they had given a bribe during a visit to an institution). Among the institutions most frequently visited by the population, the highest indexes related to bribes are in the republican hospitals (extortion - 0.23, giving - 0.17), in city and district hospitals (the bribe extortion index reaches 0.22, and the bribe giving - 0.16). Compared to 2020 these indexes increased. But in 20 years, since 2001, they have declined significantly.</w:t>
      </w:r>
    </w:p>
    <w:p>
      <w:pPr>
        <w:pStyle w:val="normal.0"/>
        <w:spacing w:before="240" w:after="240" w:line="360" w:lineRule="auto"/>
        <w:ind w:firstLine="709"/>
        <w:jc w:val="both"/>
        <w:rPr>
          <w:lang w:val="en-US"/>
        </w:rPr>
      </w:pPr>
      <w:r>
        <w:rPr>
          <w:rtl w:val="0"/>
          <w:lang w:val="en-US"/>
        </w:rPr>
        <w:t>The highest indexes of the population use of acquaintances are typical for employment in the private sector (0.30), due to surgical operations (0.15). The highest extortion index is due to surgery (0.25). These indexes have increased over the years.</w:t>
      </w:r>
    </w:p>
    <w:p>
      <w:pPr>
        <w:pStyle w:val="normal.0"/>
        <w:spacing w:before="240" w:after="240" w:line="360" w:lineRule="auto"/>
        <w:ind w:firstLine="709"/>
        <w:jc w:val="both"/>
        <w:rPr>
          <w:lang w:val="en-US"/>
        </w:rPr>
      </w:pPr>
      <w:r>
        <w:rPr>
          <w:rtl w:val="0"/>
          <w:lang w:val="en-US"/>
        </w:rPr>
        <w:t>In 2021, there were no institutions or procedures visited/used by business executives (at least N = 100) where the indexes of extortion or giving a bribe would be at least slightly higher (exceeding 0.1).</w:t>
      </w:r>
    </w:p>
    <w:p>
      <w:pPr>
        <w:pStyle w:val="normal.0"/>
        <w:spacing w:before="240" w:after="240" w:line="360" w:lineRule="auto"/>
        <w:ind w:firstLine="709"/>
        <w:jc w:val="both"/>
        <w:rPr>
          <w:lang w:val="en-US"/>
        </w:rPr>
      </w:pPr>
      <w:r>
        <w:rPr>
          <w:rtl w:val="0"/>
          <w:lang w:val="en-US"/>
        </w:rPr>
        <w:t>According to civil servants, bribes are most expected in city and district hospitals (0.19), republican hospitals (0.16), municipal administrations (0.13), and municipal enterprises (0.16). Institutions visited by at least 100 respondents are mentioned here.</w:t>
      </w:r>
    </w:p>
    <w:p>
      <w:pPr>
        <w:pStyle w:val="normal.0"/>
        <w:spacing w:before="240" w:after="240" w:line="360" w:lineRule="auto"/>
        <w:ind w:firstLine="709"/>
        <w:jc w:val="both"/>
        <w:rPr>
          <w:lang w:val="en-US"/>
        </w:rPr>
      </w:pPr>
      <w:r>
        <w:rPr>
          <w:rtl w:val="0"/>
          <w:lang w:val="en-US"/>
        </w:rPr>
        <w:t xml:space="preserve">By residents, the prevalence of corruption is first blamed on judges - 82%, prosecutors - 81%, politicians - 79%. This is a similar result as in 2020. Business executives for the prevalence of corruption primarily blame politicians - 75%, prosecutors - 75%, judges - 74%. Civil servants for corruption mostly blame politicians - 79%, judges - 68%, business - 67%. </w:t>
      </w:r>
    </w:p>
    <w:p>
      <w:pPr>
        <w:pStyle w:val="normal.0"/>
        <w:spacing w:before="240" w:after="240" w:line="360" w:lineRule="auto"/>
        <w:ind w:firstLine="709"/>
        <w:jc w:val="both"/>
        <w:rPr>
          <w:lang w:val="en-US"/>
        </w:rPr>
      </w:pPr>
      <w:r>
        <w:rPr>
          <w:rtl w:val="0"/>
          <w:lang w:val="en-US"/>
        </w:rPr>
        <w:t xml:space="preserve">Responding to the question, which institutions and social groups could at best contribute to the reduction of corruption, the residents most often mentioned Special Investigation Service (STT) </w:t>
      </w:r>
      <w:r>
        <w:rPr>
          <w:rtl w:val="0"/>
          <w:lang w:val="en-US"/>
        </w:rPr>
        <w:t xml:space="preserve">– </w:t>
      </w:r>
      <w:r>
        <w:rPr>
          <w:rtl w:val="0"/>
          <w:lang w:val="en-US"/>
        </w:rPr>
        <w:t xml:space="preserve">58% (was 56%), law enforcement authorities </w:t>
      </w:r>
      <w:r>
        <w:rPr>
          <w:rtl w:val="0"/>
          <w:lang w:val="en-US"/>
        </w:rPr>
        <w:t xml:space="preserve">– </w:t>
      </w:r>
      <w:r>
        <w:rPr>
          <w:rtl w:val="0"/>
          <w:lang w:val="en-US"/>
        </w:rPr>
        <w:t xml:space="preserve">52% (was 50%), the Seimas </w:t>
      </w:r>
      <w:r>
        <w:rPr>
          <w:rtl w:val="0"/>
          <w:lang w:val="en-US"/>
        </w:rPr>
        <w:t xml:space="preserve">– </w:t>
      </w:r>
      <w:r>
        <w:rPr>
          <w:rtl w:val="0"/>
          <w:lang w:val="en-US"/>
        </w:rPr>
        <w:t xml:space="preserve">45% (was 54%), and the Government </w:t>
      </w:r>
      <w:r>
        <w:rPr>
          <w:rtl w:val="0"/>
          <w:lang w:val="en-US"/>
        </w:rPr>
        <w:t xml:space="preserve">– </w:t>
      </w:r>
      <w:r>
        <w:rPr>
          <w:rtl w:val="0"/>
          <w:lang w:val="en-US"/>
        </w:rPr>
        <w:t xml:space="preserve">48% (was 52%). Civil servants firstly mentioned Special Investigation Service (STT) </w:t>
      </w:r>
      <w:r>
        <w:rPr>
          <w:rtl w:val="0"/>
          <w:lang w:val="en-US"/>
        </w:rPr>
        <w:t xml:space="preserve">– </w:t>
      </w:r>
      <w:r>
        <w:rPr>
          <w:rtl w:val="0"/>
          <w:lang w:val="en-US"/>
        </w:rPr>
        <w:t xml:space="preserve">66% (was 61%), the law enforcement institutions </w:t>
      </w:r>
      <w:r>
        <w:rPr>
          <w:rtl w:val="0"/>
          <w:lang w:val="en-US"/>
        </w:rPr>
        <w:t xml:space="preserve">– </w:t>
      </w:r>
      <w:r>
        <w:rPr>
          <w:rtl w:val="0"/>
          <w:lang w:val="en-US"/>
        </w:rPr>
        <w:t xml:space="preserve">66% (was 66%), the Seimas </w:t>
      </w:r>
      <w:r>
        <w:rPr>
          <w:rtl w:val="0"/>
          <w:lang w:val="en-US"/>
        </w:rPr>
        <w:t xml:space="preserve">– </w:t>
      </w:r>
      <w:r>
        <w:rPr>
          <w:rtl w:val="0"/>
          <w:lang w:val="en-US"/>
        </w:rPr>
        <w:t xml:space="preserve">62% (was 66%). </w:t>
      </w:r>
    </w:p>
    <w:p>
      <w:pPr>
        <w:pStyle w:val="normal.0"/>
        <w:spacing w:before="240" w:after="240" w:line="360" w:lineRule="auto"/>
        <w:ind w:firstLine="709"/>
        <w:jc w:val="both"/>
        <w:rPr>
          <w:lang w:val="en-US"/>
        </w:rPr>
      </w:pPr>
      <w:r>
        <w:rPr>
          <w:rtl w:val="0"/>
          <w:lang w:val="en-US"/>
        </w:rPr>
        <w:t>52% of the population know where the cases of corruption should be reported (in 2020 was 50%), 21% of them would report such cases, 10% would like to participate in anti-corruption activities. Company executives</w:t>
      </w:r>
      <w:r>
        <w:rPr>
          <w:rtl w:val="0"/>
          <w:lang w:val="en-US"/>
        </w:rPr>
        <w:t xml:space="preserve">’ </w:t>
      </w:r>
      <w:r>
        <w:rPr>
          <w:rtl w:val="0"/>
          <w:lang w:val="en-US"/>
        </w:rPr>
        <w:t>indicators, in this case, are higher: 71% know how to report cases of corruption, 27% of them would report such cases. Civil servants have the best awareness of how to report the cases of corruption - 84%, 56% of them would report corruption.</w:t>
      </w:r>
    </w:p>
    <w:p>
      <w:pPr>
        <w:pStyle w:val="normal.0"/>
        <w:spacing w:before="240" w:after="240" w:line="360" w:lineRule="auto"/>
        <w:ind w:firstLine="709"/>
        <w:jc w:val="both"/>
        <w:rPr>
          <w:lang w:val="en-US"/>
        </w:rPr>
      </w:pPr>
      <w:r>
        <w:rPr>
          <w:rtl w:val="0"/>
          <w:lang w:val="en-US"/>
        </w:rPr>
        <w:t>Most respondents know or have heard of STT: 87% of the population, 94% of business executives, 99% of civil servants. The majority trust the STT: 48% of the population (17% do not trust), 58% of business executives (13% do not trust), 75% of civil servants (10% do not trust).</w:t>
      </w:r>
    </w:p>
    <w:p>
      <w:pPr>
        <w:pStyle w:val="normal.0"/>
        <w:spacing w:before="240" w:after="240" w:line="360" w:lineRule="auto"/>
        <w:ind w:firstLine="709"/>
        <w:jc w:val="both"/>
        <w:rPr>
          <w:lang w:val="en-US"/>
        </w:rPr>
      </w:pPr>
      <w:r>
        <w:rPr>
          <w:rtl w:val="0"/>
          <w:lang w:val="en-US"/>
        </w:rPr>
        <w:t xml:space="preserve">Television remains the most important source of information about the corruptive processes for the general public (26%), but its role is decreasing and internet media is increasing (28%). The internet media is the most important source for business executives 44%, the second important is TV 35%. The internet media and TV are equally important for civil servants </w:t>
      </w:r>
      <w:r>
        <w:rPr>
          <w:rtl w:val="0"/>
          <w:lang w:val="en-US"/>
        </w:rPr>
        <w:t xml:space="preserve">– </w:t>
      </w:r>
      <w:r>
        <w:rPr>
          <w:rtl w:val="0"/>
          <w:lang w:val="en-US"/>
        </w:rPr>
        <w:t>32%.</w:t>
      </w:r>
    </w:p>
    <w:p>
      <w:pPr>
        <w:pStyle w:val="normal.0"/>
        <w:spacing w:before="240" w:after="240" w:line="360" w:lineRule="auto"/>
        <w:ind w:firstLine="709"/>
        <w:jc w:val="both"/>
        <w:rPr>
          <w:lang w:val="en-US"/>
        </w:rPr>
      </w:pPr>
      <w:r>
        <w:rPr>
          <w:rtl w:val="0"/>
          <w:lang w:val="en-US"/>
        </w:rPr>
        <w:t xml:space="preserve">According to the general public, the decision-making process in Lithuania is private </w:t>
      </w:r>
      <w:r>
        <w:rPr>
          <w:rtl w:val="0"/>
          <w:lang w:val="en-US"/>
        </w:rPr>
        <w:t xml:space="preserve">– </w:t>
      </w:r>
      <w:r>
        <w:rPr>
          <w:rtl w:val="0"/>
          <w:lang w:val="en-US"/>
        </w:rPr>
        <w:t xml:space="preserve">41% (in 2020 </w:t>
      </w:r>
      <w:r>
        <w:rPr>
          <w:rtl w:val="0"/>
          <w:lang w:val="en-US"/>
        </w:rPr>
        <w:t xml:space="preserve">– </w:t>
      </w:r>
      <w:r>
        <w:rPr>
          <w:rtl w:val="0"/>
          <w:lang w:val="en-US"/>
        </w:rPr>
        <w:t xml:space="preserve">43%, in 2019 </w:t>
      </w:r>
      <w:r>
        <w:rPr>
          <w:rtl w:val="0"/>
          <w:lang w:val="en-US"/>
        </w:rPr>
        <w:t xml:space="preserve">– </w:t>
      </w:r>
      <w:r>
        <w:rPr>
          <w:rtl w:val="0"/>
          <w:lang w:val="en-US"/>
        </w:rPr>
        <w:t xml:space="preserve">34%) and 10% </w:t>
      </w:r>
      <w:r>
        <w:rPr>
          <w:rtl w:val="0"/>
          <w:lang w:val="en-US"/>
        </w:rPr>
        <w:t xml:space="preserve">– </w:t>
      </w:r>
      <w:r>
        <w:rPr>
          <w:rtl w:val="0"/>
          <w:lang w:val="en-US"/>
        </w:rPr>
        <w:t xml:space="preserve">open. A similar opinion was expressed by business executives </w:t>
      </w:r>
      <w:r>
        <w:rPr>
          <w:rtl w:val="0"/>
          <w:lang w:val="en-US"/>
        </w:rPr>
        <w:t xml:space="preserve">– </w:t>
      </w:r>
      <w:r>
        <w:rPr>
          <w:rtl w:val="0"/>
          <w:lang w:val="en-US"/>
        </w:rPr>
        <w:t>43% believe it</w:t>
      </w:r>
      <w:r>
        <w:rPr>
          <w:rtl w:val="0"/>
          <w:lang w:val="en-US"/>
        </w:rPr>
        <w:t>’</w:t>
      </w:r>
      <w:r>
        <w:rPr>
          <w:rtl w:val="0"/>
          <w:lang w:val="en-US"/>
        </w:rPr>
        <w:t>s private (open - 12%). The decision-making process was assessed better by civil servants: 31% believe the process is open, 16% - private.</w:t>
      </w:r>
    </w:p>
    <w:p>
      <w:pPr>
        <w:pStyle w:val="normal.0"/>
        <w:spacing w:before="240" w:after="240" w:line="360" w:lineRule="auto"/>
        <w:ind w:firstLine="709"/>
        <w:jc w:val="both"/>
        <w:rPr>
          <w:lang w:val="en-US"/>
        </w:rPr>
      </w:pPr>
      <w:r>
        <w:rPr>
          <w:rtl w:val="0"/>
          <w:lang w:val="en-US"/>
        </w:rPr>
        <w:t>In the 2021 survey questionnaire questions were asked about the work of the courts. Surveyed respondents and business executives disagree with the statement that the courts are impartial. Better ratings were provided by civil servants. Most respondents indicated that politicians have a significant influence on court decisions: 48% of the population, 48% of company managers, and 29% of civil servants.</w:t>
      </w:r>
    </w:p>
    <w:p>
      <w:pPr>
        <w:pStyle w:val="normal.0"/>
        <w:spacing w:before="240" w:after="240" w:line="360" w:lineRule="auto"/>
        <w:ind w:firstLine="709"/>
        <w:jc w:val="both"/>
        <w:rPr>
          <w:lang w:val="en-US"/>
        </w:rPr>
      </w:pPr>
      <w:r>
        <w:rPr>
          <w:rtl w:val="0"/>
          <w:lang w:val="en-US"/>
        </w:rPr>
        <w:t>Disagree that the management of the COVID-19 pandemic is transparent 42% of the population, 49% of business executives, and 28% of civil servants. Agrees that the management of the pandemic by the government is transparent 13% of the population, 13% of business executives, and 24% of civil servants.</w:t>
      </w:r>
    </w:p>
    <w:p>
      <w:pPr>
        <w:pStyle w:val="normal.0"/>
        <w:spacing w:before="240" w:after="240" w:line="360" w:lineRule="auto"/>
        <w:ind w:firstLine="709"/>
        <w:jc w:val="both"/>
        <w:rPr>
          <w:lang w:val="en-US"/>
        </w:rPr>
      </w:pPr>
      <w:r>
        <w:rPr>
          <w:rtl w:val="0"/>
          <w:lang w:val="en-US"/>
        </w:rPr>
        <w:t>Residents and business leaders assessed the state of democracy in Lithuania similarly: positively 16% in both groups and negatively 26% of the population and 30% of business executives. The ratings of civil servants are much better: 37% are positive and only 5% are negative.</w:t>
      </w:r>
    </w:p>
    <w:p>
      <w:pPr>
        <w:pStyle w:val="normal.0"/>
        <w:spacing w:before="240" w:after="240" w:line="360" w:lineRule="auto"/>
        <w:ind w:firstLine="709"/>
        <w:jc w:val="both"/>
        <w:rPr>
          <w:lang w:val="en-US"/>
        </w:rPr>
      </w:pPr>
      <w:r>
        <w:rPr>
          <w:rtl w:val="0"/>
          <w:lang w:val="en-US"/>
        </w:rPr>
        <w:t>49% of company executives have heard of outsourced articles, which shed light on corporate affairs, and 40% have heard that the media publishes unfavorable information about the company's competitors for a fee. 87% of company executives agree that unfavorable media publications can severely damage a person</w:t>
      </w:r>
      <w:r>
        <w:rPr>
          <w:rtl w:val="0"/>
          <w:lang w:val="en-US"/>
        </w:rPr>
        <w:t>’</w:t>
      </w:r>
      <w:r>
        <w:rPr>
          <w:rtl w:val="0"/>
          <w:lang w:val="en-US"/>
        </w:rPr>
        <w:t>s or company</w:t>
      </w:r>
      <w:r>
        <w:rPr>
          <w:rtl w:val="0"/>
          <w:lang w:val="en-US"/>
        </w:rPr>
        <w:t>’</w:t>
      </w:r>
      <w:r>
        <w:rPr>
          <w:rtl w:val="0"/>
          <w:lang w:val="en-US"/>
        </w:rPr>
        <w:t>s reputation. Business executives were rather skeptical about media transparency: e.g. national TV - 28% transparent and 52% non-transparent, national press - 23% transparent and 51% non-transparent, regional TV - 21% transparent and 46% non-transparent. 69% of company managers indicated that information about the financial sources of Lithuanian media is not sufficiently publicized (only 12% think it</w:t>
      </w:r>
      <w:r>
        <w:rPr>
          <w:rtl w:val="0"/>
          <w:lang w:val="en-US"/>
        </w:rPr>
        <w:t>’</w:t>
      </w:r>
      <w:r>
        <w:rPr>
          <w:rtl w:val="0"/>
          <w:lang w:val="en-US"/>
        </w:rPr>
        <w:t>s sufficient).</w:t>
      </w:r>
    </w:p>
    <w:p>
      <w:pPr>
        <w:pStyle w:val="normal.0"/>
        <w:spacing w:before="240" w:after="240" w:line="360" w:lineRule="auto"/>
        <w:ind w:firstLine="709"/>
        <w:jc w:val="both"/>
        <w:rPr>
          <w:lang w:val="en-US"/>
        </w:rPr>
      </w:pPr>
      <w:r>
        <w:rPr>
          <w:rtl w:val="0"/>
          <w:lang w:val="en-US"/>
        </w:rPr>
        <w:t xml:space="preserve">Thus, compared to 2020, the perception of corruption as a very important problem has not changed significantly, and for business executives and civil servants, this importance has even decreased. On the other hand, perceptions of the dynamics of corruption have stopped declining and even increased, with an increase in the number of those who gave bribes and an increase in the bribery indexes. Among the most corrupt institutions spontaneously mentioned (open question) in all target groups is the same quartet: health institutions, courts, the Seimas, and municipalities. Judges, prosecutors, and politicians are primarily charged with corruption. A large part of the population and business executives say that decision-making in Lithuania is private, the courts make biased decisions, the management of the COVID-19 pandemic is not transparent, and the state of democracy is assessed more negatively. The media (due to lack of transparency and bias) were assessed rather unfavorably. </w:t>
      </w:r>
    </w:p>
    <w:p>
      <w:pPr>
        <w:pStyle w:val="normal.0"/>
        <w:spacing w:before="240" w:after="240" w:line="360" w:lineRule="auto"/>
        <w:ind w:firstLine="709"/>
        <w:jc w:val="both"/>
      </w:pPr>
      <w:r>
        <w:rPr>
          <w:rtl w:val="0"/>
          <w:lang w:val="en-US"/>
        </w:rPr>
        <w:t>The most results in the fight against corruption are expected from the STT.</w:t>
      </w:r>
    </w:p>
    <w:sectPr>
      <w:headerReference w:type="default" r:id="rId5"/>
      <w:headerReference w:type="first" r:id="rId6"/>
      <w:footerReference w:type="default" r:id="rId7"/>
      <w:footerReference w:type="first" r:id="rId8"/>
      <w:pgSz w:w="11900" w:h="16840" w:orient="portrait"/>
      <w:pgMar w:top="1135" w:right="849" w:bottom="1134" w:left="1701" w:header="567" w:footer="567"/>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30"/>
        <w:tab w:val="clear" w:pos="9638"/>
      </w:tabs>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819"/>
        <w:tab w:val="right" w:pos="9638"/>
      </w:tabs>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